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2022学年第二学期杭二模应用文教学设计</w:t>
      </w:r>
    </w:p>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浙江省杭州学军中学</w:t>
      </w:r>
      <w:r>
        <w:rPr>
          <w:rFonts w:hint="eastAsia" w:ascii="Times New Roman" w:hAnsi="Times New Roman" w:eastAsia="宋体" w:cs="Times New Roman"/>
          <w:sz w:val="21"/>
          <w:szCs w:val="21"/>
          <w:lang w:val="en-US" w:eastAsia="zh-CN"/>
        </w:rPr>
        <w:t>紫金港校区</w:t>
      </w:r>
      <w:r>
        <w:rPr>
          <w:rFonts w:hint="default" w:ascii="Times New Roman" w:hAnsi="Times New Roman" w:eastAsia="宋体" w:cs="Times New Roman"/>
          <w:sz w:val="21"/>
          <w:szCs w:val="21"/>
          <w:lang w:val="en-US" w:eastAsia="zh-CN"/>
        </w:rPr>
        <w:t xml:space="preserve"> 金畑怡</w:t>
      </w:r>
    </w:p>
    <w:p>
      <w:pPr>
        <w:numPr>
          <w:ilvl w:val="0"/>
          <w:numId w:val="0"/>
        </w:numPr>
        <w:spacing w:line="360" w:lineRule="auto"/>
        <w:rPr>
          <w:rFonts w:hint="eastAsia"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 xml:space="preserve">Teaching </w:t>
      </w:r>
      <w:r>
        <w:rPr>
          <w:rFonts w:hint="eastAsia" w:ascii="Times New Roman" w:hAnsi="Times New Roman" w:cs="Times New Roman"/>
          <w:b/>
          <w:bCs/>
          <w:color w:val="000000" w:themeColor="text1"/>
          <w:lang w:val="en-US" w:eastAsia="zh-CN"/>
          <w14:textFill>
            <w14:solidFill>
              <w14:schemeClr w14:val="tx1"/>
            </w14:solidFill>
          </w14:textFill>
        </w:rPr>
        <w:t>Aims]</w:t>
      </w:r>
    </w:p>
    <w:p>
      <w:pPr>
        <w:numPr>
          <w:ilvl w:val="0"/>
          <w:numId w:val="1"/>
        </w:numPr>
        <w:spacing w:line="360" w:lineRule="auto"/>
        <w:ind w:left="425" w:leftChars="0" w:hanging="425" w:firstLineChars="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学生能理解并分析写作体裁、要点及结构；</w:t>
      </w:r>
    </w:p>
    <w:p>
      <w:pPr>
        <w:numPr>
          <w:ilvl w:val="0"/>
          <w:numId w:val="1"/>
        </w:numPr>
        <w:spacing w:line="360" w:lineRule="auto"/>
        <w:ind w:left="425" w:leftChars="0" w:hanging="425" w:firstLineChars="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学生掌握写作要点的有效拓展方法，并灵活运用；</w:t>
      </w:r>
    </w:p>
    <w:p>
      <w:pPr>
        <w:numPr>
          <w:ilvl w:val="0"/>
          <w:numId w:val="1"/>
        </w:numPr>
        <w:spacing w:line="360" w:lineRule="auto"/>
        <w:ind w:left="425" w:leftChars="0" w:hanging="425" w:firstLineChars="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提高学生迁移运用所学知识的意识和能力；</w:t>
      </w:r>
    </w:p>
    <w:p>
      <w:pPr>
        <w:numPr>
          <w:ilvl w:val="0"/>
          <w:numId w:val="1"/>
        </w:numPr>
        <w:spacing w:line="360" w:lineRule="auto"/>
        <w:ind w:left="425" w:leftChars="0" w:hanging="425" w:firstLineChars="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深化学生对文物文化价值和其背后的人文精神的理解，增强文物保护意识。</w:t>
      </w:r>
    </w:p>
    <w:p>
      <w:pPr>
        <w:numPr>
          <w:ilvl w:val="0"/>
          <w:numId w:val="0"/>
        </w:numPr>
        <w:spacing w:line="36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Teaching Procedures</w:t>
      </w:r>
      <w:r>
        <w:rPr>
          <w:rFonts w:hint="eastAsia" w:ascii="Times New Roman" w:hAnsi="Times New Roman" w:cs="Times New Roman"/>
          <w:b/>
          <w:bCs/>
          <w:color w:val="000000" w:themeColor="text1"/>
          <w:lang w:val="en-US" w:eastAsia="zh-CN"/>
          <w14:textFill>
            <w14:solidFill>
              <w14:schemeClr w14:val="tx1"/>
            </w14:solidFill>
          </w14:textFill>
        </w:rPr>
        <w:t>]</w:t>
      </w:r>
    </w:p>
    <w:p>
      <w:pPr>
        <w:numPr>
          <w:ilvl w:val="0"/>
          <w:numId w:val="0"/>
        </w:numPr>
        <w:spacing w:line="36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Step 1.</w:t>
      </w:r>
      <w:r>
        <w:rPr>
          <w:rFonts w:hint="eastAsia" w:ascii="Times New Roman" w:hAnsi="Times New Roman" w:cs="Times New Roman"/>
          <w:b/>
          <w:bCs/>
          <w:color w:val="000000" w:themeColor="text1"/>
          <w:lang w:val="en-US" w:eastAsia="zh-CN"/>
          <w14:textFill>
            <w14:solidFill>
              <w14:schemeClr w14:val="tx1"/>
            </w14:solidFill>
          </w14:textFill>
        </w:rPr>
        <w:t xml:space="preserve"> Analyze essential elements</w:t>
      </w:r>
    </w:p>
    <w:p>
      <w:pPr>
        <w:spacing w:line="360" w:lineRule="auto"/>
        <w:ind w:firstLine="420" w:firstLineChars="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学生在考后重新审题，明确文章的体裁、格式、对象、语气、时态及要点这六大要素。学生在审题时可能会对体裁产生一点困惑，教师通过展示习总书记在第五届中国国际进口博览会开幕式上的致辞，帮助学生激活已知的对开幕辞的背景知识，并从中总结出开幕辞的一些必要要素：称呼语、问候、欢迎。</w:t>
      </w:r>
    </w:p>
    <w:p>
      <w:pPr>
        <w:spacing w:line="360" w:lineRule="auto"/>
        <w:ind w:firstLine="420" w:firstLineChars="0"/>
        <w:rPr>
          <w:rFonts w:hint="default" w:eastAsia="宋体"/>
          <w:color w:val="1F4E79" w:themeColor="accent1" w:themeShade="80"/>
          <w:lang w:val="en-US"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接着指导学生思考六大要素之间的逻辑关系：文章的体裁决定了文章的格式，而写作对象又决定了写作者的语气，并总结概括完成该篇作文的写作结构：Para1：问候，自我介绍，欢迎；Para2：活动目的+内容；Para3：（再次欢迎）+祝福或美好期许。</w:t>
      </w:r>
    </w:p>
    <w:p>
      <w:pPr>
        <w:spacing w:line="36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【题目】</w:t>
      </w:r>
    </w:p>
    <w:p>
      <w:pPr>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你是某国际学校学生会主席。你校准备组织一次</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让文物活起来</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（Bring Cultural Relics to Life）的活动，请你用英语写一篇开幕辞，欢迎参加活动的师生。内容包括：</w:t>
      </w:r>
    </w:p>
    <w:p>
      <w:pPr>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1．表示欢迎；</w:t>
      </w:r>
    </w:p>
    <w:p>
      <w:pPr>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2．活动目的；</w:t>
      </w:r>
    </w:p>
    <w:p>
      <w:pPr>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3．活动内容。</w:t>
      </w:r>
    </w:p>
    <w:p>
      <w:pPr>
        <w:spacing w:line="36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注意：1.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词数80左右</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2. </w:t>
      </w:r>
      <w:r>
        <w:rPr>
          <w:rFonts w:hint="default" w:ascii="Times New Roman" w:hAnsi="Times New Roman" w:eastAsia="宋体" w:cs="Times New Roman"/>
          <w:color w:val="000000" w:themeColor="text1"/>
          <w:sz w:val="21"/>
          <w:szCs w:val="21"/>
          <w14:textFill>
            <w14:solidFill>
              <w14:schemeClr w14:val="tx1"/>
            </w14:solidFill>
          </w14:textFill>
        </w:rPr>
        <w:t>可适当增加细节，以使行文连贯</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numPr>
          <w:ilvl w:val="0"/>
          <w:numId w:val="0"/>
        </w:numPr>
        <w:spacing w:line="360" w:lineRule="auto"/>
        <w:rPr>
          <w:rFonts w:hint="eastAsia"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Step 2</w:t>
      </w:r>
      <w:r>
        <w:rPr>
          <w:rFonts w:hint="eastAsia" w:ascii="Times New Roman" w:hAnsi="Times New Roman" w:cs="Times New Roman"/>
          <w:b/>
          <w:bCs/>
          <w:color w:val="000000" w:themeColor="text1"/>
          <w:lang w:val="en-US" w:eastAsia="zh-CN"/>
          <w14:textFill>
            <w14:solidFill>
              <w14:schemeClr w14:val="tx1"/>
            </w14:solidFill>
          </w14:textFill>
        </w:rPr>
        <w:t>. Expand main points and accumulate language</w:t>
      </w:r>
    </w:p>
    <w:p>
      <w:pPr>
        <w:spacing w:line="360" w:lineRule="auto"/>
        <w:ind w:firstLine="420" w:firstLineChars="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通过对每段各个要点的内容拓展和语言积累，引导学生在写作后思考自己的文章是否达到以下标准：内容完整、语言准确、交际得体、衔接自然和结构紧凑。</w:t>
      </w:r>
    </w:p>
    <w:p>
      <w:p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Para1.</w:t>
      </w:r>
    </w:p>
    <w:p>
      <w:pPr>
        <w:numPr>
          <w:ilvl w:val="0"/>
          <w:numId w:val="2"/>
        </w:numPr>
        <w:spacing w:line="360" w:lineRule="auto"/>
        <w:ind w:left="425" w:leftChars="0" w:hanging="425"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问候/开头语</w:t>
      </w:r>
    </w:p>
    <w:p>
      <w:pPr>
        <w:numPr>
          <w:ilvl w:val="0"/>
          <w:numId w:val="2"/>
        </w:numPr>
        <w:spacing w:line="360" w:lineRule="auto"/>
        <w:ind w:left="425" w:leftChars="0" w:hanging="425"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自我介绍</w:t>
      </w:r>
    </w:p>
    <w:p>
      <w:pPr>
        <w:numPr>
          <w:ilvl w:val="0"/>
          <w:numId w:val="2"/>
        </w:numPr>
        <w:spacing w:line="360" w:lineRule="auto"/>
        <w:ind w:left="425" w:leftChars="0" w:hanging="425"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欢迎</w:t>
      </w:r>
    </w:p>
    <w:p>
      <w:pPr>
        <w:numPr>
          <w:numId w:val="0"/>
        </w:numPr>
        <w:spacing w:line="360" w:lineRule="auto"/>
        <w:ind w:leftChars="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Para2.</w:t>
      </w:r>
    </w:p>
    <w:p>
      <w:pPr>
        <w:numPr>
          <w:ilvl w:val="0"/>
          <w:numId w:val="3"/>
        </w:numPr>
        <w:spacing w:line="360" w:lineRule="auto"/>
        <w:ind w:left="425" w:leftChars="0" w:hanging="425"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活动目的：从实践和意识层面思考学校开展“</w:t>
      </w:r>
      <w:r>
        <w:rPr>
          <w:rFonts w:hint="default" w:ascii="Times New Roman" w:hAnsi="Times New Roman" w:eastAsia="宋体" w:cs="Times New Roman"/>
          <w:color w:val="000000" w:themeColor="text1"/>
          <w:sz w:val="21"/>
          <w:szCs w:val="21"/>
          <w14:textFill>
            <w14:solidFill>
              <w14:schemeClr w14:val="tx1"/>
            </w14:solidFill>
          </w14:textFill>
        </w:rPr>
        <w:t>让文物活起来</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”活动的目的；</w:t>
      </w:r>
    </w:p>
    <w:p>
      <w:pPr>
        <w:numPr>
          <w:ilvl w:val="0"/>
          <w:numId w:val="3"/>
        </w:numPr>
        <w:spacing w:line="360" w:lineRule="auto"/>
        <w:ind w:left="425" w:leftChars="0" w:hanging="425"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活动内容：专家/艺术家访谈、讲座；文物实物、图片、视频展览/沉浸式交互体验展；文创比赛、制作手工艺品。</w:t>
      </w:r>
    </w:p>
    <w:p>
      <w:pPr>
        <w:numPr>
          <w:ilvl w:val="0"/>
          <w:numId w:val="0"/>
        </w:numPr>
        <w:spacing w:line="360" w:lineRule="auto"/>
        <w:ind w:leftChars="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Para3.</w:t>
      </w:r>
    </w:p>
    <w:p>
      <w:pPr>
        <w:numPr>
          <w:ilvl w:val="0"/>
          <w:numId w:val="0"/>
        </w:numPr>
        <w:spacing w:line="360" w:lineRule="auto"/>
        <w:ind w:left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再次欢迎）+ 祝福/对活动的美好期许</w:t>
      </w:r>
    </w:p>
    <w:p>
      <w:pPr>
        <w:numPr>
          <w:ilvl w:val="0"/>
          <w:numId w:val="0"/>
        </w:numPr>
        <w:spacing w:line="360" w:lineRule="auto"/>
        <w:rPr>
          <w:rFonts w:hint="eastAsia"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 xml:space="preserve">Step </w:t>
      </w:r>
      <w:r>
        <w:rPr>
          <w:rFonts w:hint="eastAsia" w:ascii="Times New Roman" w:hAnsi="Times New Roman" w:cs="Times New Roman"/>
          <w:b/>
          <w:bCs/>
          <w:color w:val="000000" w:themeColor="text1"/>
          <w:lang w:val="en-US" w:eastAsia="zh-CN"/>
          <w14:textFill>
            <w14:solidFill>
              <w14:schemeClr w14:val="tx1"/>
            </w14:solidFill>
          </w14:textFill>
        </w:rPr>
        <w:t xml:space="preserve">3. Link knowledge from the text </w:t>
      </w:r>
    </w:p>
    <w:p>
      <w:pPr>
        <w:spacing w:line="360" w:lineRule="auto"/>
        <w:ind w:firstLine="42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在本环节中</w:t>
      </w:r>
      <w:bookmarkStart w:id="0" w:name="_GoBack"/>
      <w:bookmarkEnd w:id="0"/>
      <w:r>
        <w:rPr>
          <w:rFonts w:hint="eastAsia" w:ascii="Times New Roman" w:hAnsi="Times New Roman" w:eastAsia="宋体" w:cs="Times New Roman"/>
          <w:color w:val="000000" w:themeColor="text1"/>
          <w:sz w:val="21"/>
          <w:szCs w:val="21"/>
          <w:lang w:val="en-US" w:eastAsia="zh-CN"/>
          <w14:textFill>
            <w14:solidFill>
              <w14:schemeClr w14:val="tx1"/>
            </w14:solidFill>
          </w14:textFill>
        </w:rPr>
        <w:t>，教师基于人教版新教材相关单元文本内容和形式引导学生进行迁移或创新，即在新的情境中，把之前所学的内容和相关语言转换以写作的形式进行输出，这也要求文本的内容和相关语言成为最重要的支撑。2019新人教版英语必修二Unit1和选择性必修三Unit 1中的两篇文章Promoting Culture though Digital Images和Ancient Chinese Art on Show能够对本次写作提供一些要点拓展的思路和语言素材的积累。</w:t>
      </w:r>
    </w:p>
    <w:p>
      <w:pPr>
        <w:spacing w:line="36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比如：</w:t>
      </w:r>
    </w:p>
    <w:p>
      <w:pPr>
        <w:numPr>
          <w:ilvl w:val="0"/>
          <w:numId w:val="4"/>
        </w:numPr>
        <w:spacing w:line="360" w:lineRule="auto"/>
        <w:ind w:left="0" w:leftChars="0"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学生通过联系Promoting Culture though Digital Images中利用数字技术制作敦煌莫高窟文物图像这种方式来保护和传承中国文化遗产，迁移创新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让文物活起来的方式</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，如</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record, collect digital images of cultural relics and share them on Internet/on display</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p>
      <w:pPr>
        <w:numPr>
          <w:ilvl w:val="0"/>
          <w:numId w:val="4"/>
        </w:numPr>
        <w:spacing w:line="360" w:lineRule="auto"/>
        <w:ind w:left="0" w:leftChars="0"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教材中精彩的语言</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也能供学生在写作中模仿使用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numPr>
          <w:ilvl w:val="0"/>
          <w:numId w:val="5"/>
        </w:numPr>
        <w:spacing w:line="360" w:lineRule="auto"/>
        <w:ind w:left="425" w:leftChars="0" w:hanging="425"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The highlight of today’s activity is...</w:t>
      </w:r>
    </w:p>
    <w:p>
      <w:pPr>
        <w:numPr>
          <w:ilvl w:val="0"/>
          <w:numId w:val="5"/>
        </w:numPr>
        <w:spacing w:line="360" w:lineRule="auto"/>
        <w:ind w:left="425" w:leftChars="0" w:hanging="425"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...which is a small taste of the exquisite culture</w:t>
      </w:r>
    </w:p>
    <w:p>
      <w:pPr>
        <w:numPr>
          <w:ilvl w:val="0"/>
          <w:numId w:val="5"/>
        </w:numPr>
        <w:spacing w:line="360" w:lineRule="auto"/>
        <w:ind w:left="425" w:leftChars="0" w:hanging="425"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display the Chinese artistic genius from ancient times</w:t>
      </w:r>
    </w:p>
    <w:p>
      <w:pPr>
        <w:numPr>
          <w:ilvl w:val="0"/>
          <w:numId w:val="5"/>
        </w:numPr>
        <w:spacing w:line="360" w:lineRule="auto"/>
        <w:ind w:left="425" w:leftChars="0" w:hanging="425"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I’m fully convinced that the activity will help you admire historic and cultural relics with amazing collection of works.</w:t>
      </w:r>
    </w:p>
    <w:p>
      <w:pPr>
        <w:spacing w:line="360" w:lineRule="auto"/>
        <w:rPr>
          <w:rFonts w:hint="eastAsia"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 xml:space="preserve">Step </w:t>
      </w:r>
      <w:r>
        <w:rPr>
          <w:rFonts w:hint="eastAsia" w:ascii="Times New Roman" w:hAnsi="Times New Roman" w:cs="Times New Roman"/>
          <w:b/>
          <w:bCs/>
          <w:color w:val="000000" w:themeColor="text1"/>
          <w:lang w:val="en-US" w:eastAsia="zh-CN"/>
          <w14:textFill>
            <w14:solidFill>
              <w14:schemeClr w14:val="tx1"/>
            </w14:solidFill>
          </w14:textFill>
        </w:rPr>
        <w:t>4. Appreciating sample essay</w:t>
      </w:r>
    </w:p>
    <w:p>
      <w:pPr>
        <w:spacing w:line="360" w:lineRule="auto"/>
        <w:ind w:firstLine="42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学生欣赏参考范文，范文结构清晰、语言简洁、内容明确，适合学生分析和模仿。就结构而言，文中包含了开幕辞必要组成部分，包括称呼、欢迎、开场白、活动目的和内容、感谢参与以及美好祝福，为学生的写作输出提供了语言支架。内容方面，提供了两个符合要点拓展要求、拓展学生思维且贴合实际情况的两个活动作为参考。综上，该范文文本为学生完成开幕辞写作提供了语篇结构、功能句型、写作技巧和思维培养等方面的有力支撑。</w:t>
      </w:r>
    </w:p>
    <w:p>
      <w:pPr>
        <w:spacing w:line="360" w:lineRule="auto"/>
        <w:rPr>
          <w:rFonts w:hint="eastAsia"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 xml:space="preserve">Step </w:t>
      </w:r>
      <w:r>
        <w:rPr>
          <w:rFonts w:hint="eastAsia" w:ascii="Times New Roman" w:hAnsi="Times New Roman" w:cs="Times New Roman"/>
          <w:b/>
          <w:bCs/>
          <w:color w:val="000000" w:themeColor="text1"/>
          <w:lang w:val="en-US" w:eastAsia="zh-CN"/>
          <w14:textFill>
            <w14:solidFill>
              <w14:schemeClr w14:val="tx1"/>
            </w14:solidFill>
          </w14:textFill>
        </w:rPr>
        <w:t>5. Relevant writing topics</w:t>
      </w:r>
    </w:p>
    <w:p>
      <w:pPr>
        <w:spacing w:line="360" w:lineRule="auto"/>
        <w:ind w:firstLine="420" w:firstLineChars="0"/>
        <w:rPr>
          <w:rFonts w:hint="default"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学生依据写作四步骤Analyzing审题目，Outlining列提纲，Writing拟草稿，Modifying修正文选择相似类型的作文巩固练习。</w:t>
      </w:r>
    </w:p>
    <w:p>
      <w:pPr>
        <w:numPr>
          <w:ilvl w:val="0"/>
          <w:numId w:val="6"/>
        </w:num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广东省一模应用文</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假定你是李华，校英语学习俱乐部负责人。你们邀请到了Smith教授在线作主题为“How to Write and Enjoy Poems”专题讲座。请你在讲座前作简要发言，内容包括：</w:t>
      </w:r>
    </w:p>
    <w:p>
      <w:pPr>
        <w:numPr>
          <w:numId w:val="0"/>
        </w:num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 表示感谢；</w:t>
      </w:r>
    </w:p>
    <w:p>
      <w:pPr>
        <w:numPr>
          <w:numId w:val="0"/>
        </w:num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 相关介绍；</w:t>
      </w:r>
    </w:p>
    <w:p>
      <w:pPr>
        <w:numPr>
          <w:numId w:val="0"/>
        </w:num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 对听众的要求。</w:t>
      </w:r>
    </w:p>
    <w:p>
      <w:pPr>
        <w:numPr>
          <w:numId w:val="0"/>
        </w:num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2.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（2021年1月浙江英语首考应用文）假定你是李华，下周新西兰学生来你校访问。你将作为学生代表致欢迎辞，请为此写一篇发言稿，内容包括：</w:t>
      </w:r>
    </w:p>
    <w:p>
      <w:pPr>
        <w:numPr>
          <w:numId w:val="0"/>
        </w:num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1.表示欢迎；</w:t>
      </w:r>
    </w:p>
    <w:p>
      <w:pPr>
        <w:numPr>
          <w:numId w:val="0"/>
        </w:num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2.介绍活动安排；</w:t>
      </w:r>
    </w:p>
    <w:p>
      <w:pPr>
        <w:numPr>
          <w:numId w:val="0"/>
        </w:num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3.表达祝愿。</w:t>
      </w:r>
    </w:p>
    <w:p>
      <w:pPr>
        <w:numPr>
          <w:numId w:val="0"/>
        </w:num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86DE9"/>
    <w:multiLevelType w:val="singleLevel"/>
    <w:tmpl w:val="A5B86DE9"/>
    <w:lvl w:ilvl="0" w:tentative="0">
      <w:start w:val="1"/>
      <w:numFmt w:val="decimal"/>
      <w:lvlText w:val="%1)"/>
      <w:lvlJc w:val="left"/>
      <w:pPr>
        <w:ind w:left="425" w:hanging="425"/>
      </w:pPr>
      <w:rPr>
        <w:rFonts w:hint="default"/>
      </w:rPr>
    </w:lvl>
  </w:abstractNum>
  <w:abstractNum w:abstractNumId="1">
    <w:nsid w:val="D7520426"/>
    <w:multiLevelType w:val="singleLevel"/>
    <w:tmpl w:val="D7520426"/>
    <w:lvl w:ilvl="0" w:tentative="0">
      <w:start w:val="1"/>
      <w:numFmt w:val="decimal"/>
      <w:suff w:val="space"/>
      <w:lvlText w:val="%1."/>
      <w:lvlJc w:val="left"/>
    </w:lvl>
  </w:abstractNum>
  <w:abstractNum w:abstractNumId="2">
    <w:nsid w:val="DD72239A"/>
    <w:multiLevelType w:val="singleLevel"/>
    <w:tmpl w:val="DD72239A"/>
    <w:lvl w:ilvl="0" w:tentative="0">
      <w:start w:val="1"/>
      <w:numFmt w:val="decimal"/>
      <w:lvlText w:val="%1)"/>
      <w:lvlJc w:val="left"/>
      <w:pPr>
        <w:ind w:left="425" w:hanging="425"/>
      </w:pPr>
      <w:rPr>
        <w:rFonts w:hint="default"/>
      </w:rPr>
    </w:lvl>
  </w:abstractNum>
  <w:abstractNum w:abstractNumId="3">
    <w:nsid w:val="14343A01"/>
    <w:multiLevelType w:val="singleLevel"/>
    <w:tmpl w:val="14343A01"/>
    <w:lvl w:ilvl="0" w:tentative="0">
      <w:start w:val="1"/>
      <w:numFmt w:val="lowerLetter"/>
      <w:lvlText w:val="%1."/>
      <w:lvlJc w:val="left"/>
      <w:pPr>
        <w:ind w:left="425" w:hanging="425"/>
      </w:pPr>
      <w:rPr>
        <w:rFonts w:hint="default"/>
      </w:rPr>
    </w:lvl>
  </w:abstractNum>
  <w:abstractNum w:abstractNumId="4">
    <w:nsid w:val="2D5BCDBE"/>
    <w:multiLevelType w:val="singleLevel"/>
    <w:tmpl w:val="2D5BCDBE"/>
    <w:lvl w:ilvl="0" w:tentative="0">
      <w:start w:val="1"/>
      <w:numFmt w:val="decimalEnclosedCircleChinese"/>
      <w:suff w:val="nothing"/>
      <w:lvlText w:val="%1　"/>
      <w:lvlJc w:val="left"/>
      <w:pPr>
        <w:ind w:left="0" w:firstLine="400"/>
      </w:pPr>
      <w:rPr>
        <w:rFonts w:hint="eastAsia"/>
      </w:rPr>
    </w:lvl>
  </w:abstractNum>
  <w:abstractNum w:abstractNumId="5">
    <w:nsid w:val="39B0695A"/>
    <w:multiLevelType w:val="singleLevel"/>
    <w:tmpl w:val="39B0695A"/>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OTIxMTllMTIwM2U4YzZkNjYxYjZjOWRlMTFkNDkifQ=="/>
  </w:docVars>
  <w:rsids>
    <w:rsidRoot w:val="39423A8C"/>
    <w:rsid w:val="0026379B"/>
    <w:rsid w:val="01ED3B6A"/>
    <w:rsid w:val="04483F7E"/>
    <w:rsid w:val="053756A9"/>
    <w:rsid w:val="065E065E"/>
    <w:rsid w:val="07003DC4"/>
    <w:rsid w:val="071A48DD"/>
    <w:rsid w:val="07D07CB1"/>
    <w:rsid w:val="093323A4"/>
    <w:rsid w:val="0B451B30"/>
    <w:rsid w:val="0B697AD8"/>
    <w:rsid w:val="0B924AE6"/>
    <w:rsid w:val="0CC67421"/>
    <w:rsid w:val="0E5E7EC3"/>
    <w:rsid w:val="0EB75D16"/>
    <w:rsid w:val="0F7D5F98"/>
    <w:rsid w:val="0FE22C3A"/>
    <w:rsid w:val="12265870"/>
    <w:rsid w:val="12C143BB"/>
    <w:rsid w:val="12DE0FC1"/>
    <w:rsid w:val="17075A41"/>
    <w:rsid w:val="193D51EF"/>
    <w:rsid w:val="1A756CC1"/>
    <w:rsid w:val="1D327F10"/>
    <w:rsid w:val="1D8C6391"/>
    <w:rsid w:val="1DCB28DB"/>
    <w:rsid w:val="1DD114A9"/>
    <w:rsid w:val="1ED0096A"/>
    <w:rsid w:val="22EB59DE"/>
    <w:rsid w:val="260E3B25"/>
    <w:rsid w:val="26A81DEE"/>
    <w:rsid w:val="26BC78C8"/>
    <w:rsid w:val="27354D9D"/>
    <w:rsid w:val="27C40990"/>
    <w:rsid w:val="28A445C5"/>
    <w:rsid w:val="2BCC4267"/>
    <w:rsid w:val="2CA00AE1"/>
    <w:rsid w:val="2EBF6305"/>
    <w:rsid w:val="2F8F5206"/>
    <w:rsid w:val="37FF5047"/>
    <w:rsid w:val="39423A8C"/>
    <w:rsid w:val="3AFC29D6"/>
    <w:rsid w:val="3C1F40C9"/>
    <w:rsid w:val="3F37718C"/>
    <w:rsid w:val="4074623D"/>
    <w:rsid w:val="44BF3881"/>
    <w:rsid w:val="46463DA4"/>
    <w:rsid w:val="4917527A"/>
    <w:rsid w:val="4C150A26"/>
    <w:rsid w:val="4EA11542"/>
    <w:rsid w:val="4EF17C64"/>
    <w:rsid w:val="4F101624"/>
    <w:rsid w:val="4FF67DA9"/>
    <w:rsid w:val="50217CFE"/>
    <w:rsid w:val="50461F8A"/>
    <w:rsid w:val="51A94B8E"/>
    <w:rsid w:val="54430832"/>
    <w:rsid w:val="54911C0A"/>
    <w:rsid w:val="55F5117A"/>
    <w:rsid w:val="57B66C5A"/>
    <w:rsid w:val="5B17645C"/>
    <w:rsid w:val="5C757E7F"/>
    <w:rsid w:val="5E711D9D"/>
    <w:rsid w:val="5EF95803"/>
    <w:rsid w:val="60235147"/>
    <w:rsid w:val="67F675F5"/>
    <w:rsid w:val="684A08BA"/>
    <w:rsid w:val="6906301C"/>
    <w:rsid w:val="695E1C9B"/>
    <w:rsid w:val="69F55BFB"/>
    <w:rsid w:val="6BD808EE"/>
    <w:rsid w:val="6DAF3F85"/>
    <w:rsid w:val="6EA05E9C"/>
    <w:rsid w:val="6F4768AA"/>
    <w:rsid w:val="701B5B4F"/>
    <w:rsid w:val="71F160F3"/>
    <w:rsid w:val="72FE448B"/>
    <w:rsid w:val="737639ED"/>
    <w:rsid w:val="738206E9"/>
    <w:rsid w:val="766846C7"/>
    <w:rsid w:val="79EE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1401</Words>
  <Characters>2005</Characters>
  <Lines>0</Lines>
  <Paragraphs>0</Paragraphs>
  <TotalTime>0</TotalTime>
  <ScaleCrop>false</ScaleCrop>
  <LinksUpToDate>false</LinksUpToDate>
  <CharactersWithSpaces>2112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2023-02-28T00:07:00Z</dcterms:created>
  <dc:creator>金畑怡</dc:creator>
  <cp:lastModifiedBy>金畑怡</cp:lastModifiedBy>
  <dcterms:modified xsi:type="dcterms:W3CDTF">2023-04-16T13:46:23Z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51651AE2FB0A4AB980F49144A75AB924</vt:lpwstr>
  </property>
</Properties>
</file>