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200"/>
        </w:tabs>
        <w:rPr>
          <w:rFonts w:ascii="宋体" w:hAnsi="宋体" w:eastAsia="宋体" w:cs="宋体"/>
          <w:b/>
          <w:bCs/>
        </w:rPr>
      </w:pPr>
      <w:r>
        <w:rPr>
          <w:b/>
          <w:bCs/>
        </w:rPr>
        <w:t>The Week</w:t>
      </w:r>
      <w:r>
        <w:rPr>
          <w:rFonts w:hint="eastAsia"/>
          <w:lang w:val="zh-TW" w:eastAsia="zh-TW"/>
        </w:rPr>
        <w:t>（</w:t>
      </w:r>
      <w:r>
        <w:rPr>
          <w:rFonts w:hint="eastAsia"/>
          <w:b/>
          <w:bCs/>
          <w:lang w:val="en-US" w:eastAsia="zh-CN"/>
        </w:rPr>
        <w:t>0409-0415</w:t>
      </w:r>
      <w:r>
        <w:rPr>
          <w:rFonts w:hint="eastAsia"/>
          <w:lang w:val="zh-TW" w:eastAsia="zh-TW"/>
        </w:rPr>
        <w:t>）</w:t>
      </w:r>
      <w:r>
        <w:rPr>
          <w:rFonts w:hint="eastAsia" w:ascii="宋体" w:hAnsi="宋体" w:eastAsia="宋体" w:cs="宋体"/>
          <w:lang w:val="zh-TW" w:eastAsia="zh-TW"/>
        </w:rPr>
        <w:t>材料分析和教学目标：</w:t>
      </w:r>
    </w:p>
    <w:p>
      <w:pPr>
        <w:ind w:firstLine="48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zh-TW" w:eastAsia="zh-TW"/>
        </w:rPr>
        <w:t>本次选用</w:t>
      </w:r>
      <w:r>
        <w:rPr>
          <w:rFonts w:hint="eastAsia" w:ascii="宋体" w:hAnsi="宋体" w:eastAsia="宋体" w:cs="宋体"/>
          <w:lang w:val="zh-TW" w:eastAsia="zh-CN"/>
        </w:rPr>
        <w:t>《</w:t>
      </w:r>
      <w:r>
        <w:rPr>
          <w:rFonts w:hint="eastAsia" w:ascii="宋体" w:hAnsi="宋体" w:eastAsia="宋体" w:cs="宋体"/>
          <w:lang w:val="en-US" w:eastAsia="zh-CN"/>
        </w:rPr>
        <w:t>国家地理</w:t>
      </w:r>
      <w:r>
        <w:rPr>
          <w:rFonts w:hint="eastAsia" w:ascii="宋体" w:hAnsi="宋体" w:eastAsia="宋体" w:cs="宋体"/>
          <w:lang w:val="zh-TW" w:eastAsia="zh-CN"/>
        </w:rPr>
        <w:t>》、</w:t>
      </w:r>
      <w:r>
        <w:rPr>
          <w:rFonts w:hint="eastAsia" w:ascii="宋体" w:hAnsi="宋体" w:eastAsia="宋体" w:cs="宋体"/>
          <w:lang w:val="zh-TW" w:eastAsia="zh-TW"/>
        </w:rPr>
        <w:t>《</w:t>
      </w:r>
      <w:r>
        <w:rPr>
          <w:rFonts w:hint="eastAsia" w:ascii="宋体" w:hAnsi="宋体" w:eastAsia="宋体" w:cs="宋体"/>
          <w:lang w:val="en-US" w:eastAsia="zh-CN"/>
        </w:rPr>
        <w:t>数字时代</w:t>
      </w:r>
      <w:r>
        <w:rPr>
          <w:rFonts w:hint="eastAsia" w:ascii="宋体" w:hAnsi="宋体" w:eastAsia="宋体" w:cs="宋体"/>
          <w:lang w:val="zh-TW" w:eastAsia="zh-TW"/>
        </w:rPr>
        <w:t>》、《泰晤士报》</w:t>
      </w:r>
      <w:r>
        <w:rPr>
          <w:rFonts w:hint="eastAsia" w:ascii="宋体" w:hAnsi="宋体" w:eastAsia="宋体" w:cs="宋体"/>
          <w:lang w:val="zh-TW" w:eastAsia="zh-CN"/>
        </w:rPr>
        <w:t>、</w:t>
      </w:r>
      <w:r>
        <w:rPr>
          <w:rFonts w:hint="eastAsia" w:ascii="宋体" w:hAnsi="宋体" w:eastAsia="宋体" w:cs="宋体"/>
          <w:lang w:val="zh-TW" w:eastAsia="zh-TW"/>
        </w:rPr>
        <w:t>《周刊报道》和</w:t>
      </w:r>
      <w:r>
        <w:rPr>
          <w:rFonts w:hint="eastAsia" w:ascii="Times New Roman" w:hAnsi="Times New Roman" w:eastAsia="宋体" w:cs="Times New Roman"/>
          <w:lang w:val="en-US" w:eastAsia="zh-CN"/>
        </w:rPr>
        <w:t>BBC</w:t>
      </w:r>
      <w:r>
        <w:rPr>
          <w:rFonts w:hint="eastAsia" w:ascii="宋体" w:hAnsi="宋体" w:eastAsia="宋体" w:cs="宋体"/>
          <w:lang w:val="zh-TW" w:eastAsia="zh-TW"/>
        </w:rPr>
        <w:t>五家外媒不同话题的新闻为材料，通过语法填空、</w:t>
      </w:r>
      <w:r>
        <w:rPr>
          <w:rFonts w:hint="eastAsia" w:ascii="宋体" w:hAnsi="宋体" w:eastAsia="宋体" w:cs="宋体"/>
          <w:lang w:val="zh-TW" w:eastAsia="zh-CN"/>
        </w:rPr>
        <w:t>阅读理解、</w:t>
      </w:r>
      <w:r>
        <w:rPr>
          <w:rFonts w:hint="eastAsia" w:ascii="宋体" w:hAnsi="宋体" w:eastAsia="宋体" w:cs="宋体"/>
          <w:lang w:val="zh-TW" w:eastAsia="zh-TW"/>
        </w:rPr>
        <w:t>分析长难句、翻译句子、听力填空和词汇拓展等方式，让读者从多角度提升学习兴趣，提高分析句子、运用词块和听力能力。外媒英语新闻可以让读者体验真实语境下的语言运用，拓展学生的国际视野，了解时事，逐步提升跨文化沟通能力，形成正确的世界观、人生观和价值观。</w:t>
      </w:r>
    </w:p>
    <w:p>
      <w:pPr>
        <w:rPr>
          <w:b/>
          <w:bCs/>
        </w:rPr>
      </w:pPr>
      <w:r>
        <w:rPr>
          <w:b/>
          <w:bCs/>
        </w:rPr>
        <w:t xml:space="preserve">   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  <w:r>
        <w:rPr>
          <w:rFonts w:hint="eastAsia" w:ascii="宋体" w:hAnsi="宋体" w:eastAsia="宋体" w:cs="宋体"/>
          <w:b/>
          <w:bCs/>
          <w:lang w:val="zh-TW" w:eastAsia="zh-TW"/>
        </w:rPr>
        <w:t>教学思路：</w:t>
      </w:r>
    </w:p>
    <w:p>
      <w:pPr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 《国家地理》2022年4月刊 23页</w:t>
      </w:r>
    </w:p>
    <w:p>
      <w:pPr>
        <w:rPr>
          <w:rFonts w:hint="default" w:ascii="Times New Roman" w:hAnsi="Times New Roman" w:eastAsia="宋体" w:cs="Times New Roman"/>
          <w:b/>
          <w:bCs/>
          <w:i/>
          <w:iCs/>
          <w:lang w:val="en-US" w:eastAsia="zh-TW"/>
        </w:rPr>
      </w:pPr>
      <w:r>
        <w:rPr>
          <w:rFonts w:hint="default" w:ascii="Times New Roman" w:hAnsi="Times New Roman" w:eastAsia="宋体" w:cs="Times New Roman"/>
          <w:b/>
          <w:bCs/>
          <w:lang w:val="en-US" w:eastAsia="zh-TW"/>
        </w:rPr>
        <w:t>Mice and humans, just imagine all they’ll see</w:t>
      </w:r>
      <w:r>
        <w:rPr>
          <w:rFonts w:hint="default" w:ascii="Times New Roman" w:hAnsi="Times New Roman" w:eastAsia="宋体" w:cs="Times New Roman"/>
          <w:b/>
          <w:bCs/>
          <w:i/>
          <w:iCs/>
          <w:lang w:val="en-US" w:eastAsia="zh-TW"/>
        </w:rPr>
        <w:t xml:space="preserve"> </w:t>
      </w:r>
    </w:p>
    <w:p>
      <w:pPr>
        <w:rPr>
          <w:rFonts w:hint="default" w:ascii="Times New Roman" w:hAnsi="Times New Roman" w:eastAsia="宋体" w:cs="Times New Roman"/>
          <w:b/>
          <w:bCs/>
          <w:lang w:val="en-US" w:eastAsia="zh-TW"/>
        </w:rPr>
      </w:pPr>
      <w:r>
        <w:rPr>
          <w:rFonts w:hint="default" w:ascii="Times New Roman" w:hAnsi="Times New Roman" w:eastAsia="宋体" w:cs="Times New Roman"/>
          <w:b/>
          <w:bCs/>
          <w:lang w:val="en-US" w:eastAsia="zh-TW"/>
        </w:rPr>
        <w:t>老鼠和人类的大脑或在有视力前就能形成影像</w:t>
      </w:r>
    </w:p>
    <w:p>
      <w:pPr>
        <w:jc w:val="center"/>
      </w:pPr>
      <w:r>
        <w:drawing>
          <wp:inline distT="0" distB="0" distL="114300" distR="114300">
            <wp:extent cx="3813810" cy="2160270"/>
            <wp:effectExtent l="0" t="0" r="15240" b="1143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38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【设计意图】通过</w:t>
      </w:r>
      <w:r>
        <w:rPr>
          <w:rFonts w:hint="eastAsia" w:ascii="宋体" w:hAnsi="宋体" w:eastAsia="宋体" w:cs="宋体"/>
          <w:lang w:val="en-US" w:eastAsia="zh-CN"/>
        </w:rPr>
        <w:t>语篇填空</w:t>
      </w:r>
      <w:r>
        <w:rPr>
          <w:rFonts w:hint="eastAsia" w:ascii="宋体" w:hAnsi="宋体" w:eastAsia="宋体" w:cs="宋体"/>
          <w:lang w:val="zh-TW" w:eastAsia="zh-TW"/>
        </w:rPr>
        <w:t>的形式帮助学生理解新闻的主要内容。该新闻主题语境是关于“人与社会”中“</w:t>
      </w:r>
      <w:r>
        <w:rPr>
          <w:rFonts w:hint="eastAsia" w:ascii="宋体" w:hAnsi="宋体" w:eastAsia="宋体" w:cs="宋体"/>
          <w:lang w:val="en-US" w:eastAsia="zh-CN"/>
        </w:rPr>
        <w:t>科技发展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”这一子主题，通过学习让学生了解</w:t>
      </w:r>
      <w:r>
        <w:rPr>
          <w:rFonts w:hint="eastAsia" w:ascii="宋体" w:hAnsi="宋体" w:eastAsia="宋体" w:cs="宋体"/>
          <w:lang w:val="en-US" w:eastAsia="zh-CN"/>
        </w:rPr>
        <w:t>科学新知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center"/>
      </w:pPr>
      <w:r>
        <w:drawing>
          <wp:inline distT="0" distB="0" distL="114300" distR="114300">
            <wp:extent cx="3813175" cy="2160270"/>
            <wp:effectExtent l="0" t="0" r="15875" b="1143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93490" cy="2160270"/>
            <wp:effectExtent l="0" t="0" r="16510" b="1143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349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824605" cy="2160270"/>
            <wp:effectExtent l="0" t="0" r="444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460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Calibri" w:hAnsi="Calibri" w:eastAsia="宋体" w:cs="Calibri"/>
          <w:b w:val="0"/>
          <w:bCs w:val="0"/>
          <w:lang w:val="zh-TW" w:eastAsia="zh-TW"/>
        </w:rPr>
        <w:t>【设计意图】长难句始终是很多学生过不了的坎，通过长难句的分析帮助学生提升分析句子结构的能力。</w:t>
      </w:r>
    </w:p>
    <w:p>
      <w:pPr>
        <w:jc w:val="center"/>
      </w:pPr>
      <w:r>
        <w:drawing>
          <wp:inline distT="0" distB="0" distL="114300" distR="114300">
            <wp:extent cx="3790315" cy="2160270"/>
            <wp:effectExtent l="0" t="0" r="635" b="1143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903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【设计意图】对新闻中的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个句子进行翻译练习，对其中单词、词组、句法进行巩固。</w:t>
      </w:r>
    </w:p>
    <w:p>
      <w:pPr>
        <w:jc w:val="both"/>
        <w:rPr>
          <w:rFonts w:hint="eastAsia"/>
          <w:lang w:val="zh-TW" w:eastAsia="zh-TW"/>
        </w:rPr>
      </w:pPr>
    </w:p>
    <w:p>
      <w:pPr>
        <w:jc w:val="both"/>
        <w:rPr>
          <w:rFonts w:hint="eastAsia"/>
          <w:lang w:val="zh-TW" w:eastAsia="zh-TW"/>
        </w:rPr>
      </w:pPr>
    </w:p>
    <w:p>
      <w:pPr>
        <w:jc w:val="both"/>
        <w:rPr>
          <w:rFonts w:hint="eastAsia"/>
          <w:lang w:val="zh-TW" w:eastAsia="zh-TW"/>
        </w:rPr>
      </w:pPr>
    </w:p>
    <w:p>
      <w:pPr>
        <w:jc w:val="both"/>
        <w:rPr>
          <w:rFonts w:hint="eastAsia"/>
          <w:lang w:val="zh-TW" w:eastAsia="zh-TW"/>
        </w:rPr>
      </w:pPr>
    </w:p>
    <w:p>
      <w:pPr>
        <w:jc w:val="both"/>
        <w:rPr>
          <w:rFonts w:hint="eastAsia"/>
          <w:lang w:val="zh-TW" w:eastAsia="zh-TW"/>
        </w:rPr>
      </w:pPr>
    </w:p>
    <w:p>
      <w:pPr>
        <w:jc w:val="both"/>
        <w:rPr>
          <w:rFonts w:hint="eastAsia"/>
          <w:lang w:val="zh-TW" w:eastAsia="zh-TW"/>
        </w:rPr>
      </w:pPr>
    </w:p>
    <w:p>
      <w:pPr>
        <w:jc w:val="both"/>
        <w:rPr>
          <w:rFonts w:hint="eastAsia"/>
          <w:lang w:val="zh-TW" w:eastAsia="zh-TW"/>
        </w:rPr>
      </w:pPr>
    </w:p>
    <w:p>
      <w:pPr>
        <w:jc w:val="both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 《数字时代》2022年4月刊 80页</w:t>
      </w:r>
    </w:p>
    <w:p>
      <w:pPr>
        <w:jc w:val="both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OlliOlli World《奥力奥力世界》</w:t>
      </w:r>
    </w:p>
    <w:p>
      <w:pPr>
        <w:jc w:val="center"/>
      </w:pPr>
      <w:r>
        <w:drawing>
          <wp:inline distT="0" distB="0" distL="114300" distR="114300">
            <wp:extent cx="3803015" cy="2160270"/>
            <wp:effectExtent l="0" t="0" r="6985" b="1143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776980" cy="2160270"/>
            <wp:effectExtent l="0" t="0" r="13970" b="1143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69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【设计意图】通过</w:t>
      </w:r>
      <w:r>
        <w:rPr>
          <w:rFonts w:hint="eastAsia" w:ascii="宋体" w:hAnsi="宋体" w:eastAsia="宋体" w:cs="宋体"/>
          <w:lang w:val="en-US" w:eastAsia="zh-CN"/>
        </w:rPr>
        <w:t>阅读理解</w:t>
      </w:r>
      <w:r>
        <w:rPr>
          <w:rFonts w:hint="eastAsia" w:ascii="宋体" w:hAnsi="宋体" w:eastAsia="宋体" w:cs="宋体"/>
          <w:lang w:val="zh-TW" w:eastAsia="zh-TW"/>
        </w:rPr>
        <w:t>的形式帮助学生理解新闻的主要内容。该新闻主题语境是关于 “人与社会”中“</w:t>
      </w:r>
      <w:r>
        <w:rPr>
          <w:rFonts w:hint="eastAsia" w:ascii="宋体" w:hAnsi="宋体" w:eastAsia="宋体" w:cs="宋体"/>
          <w:lang w:val="en-US" w:eastAsia="zh-CN"/>
        </w:rPr>
        <w:t>影视、音乐等领域的概况及其发展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”这一子主题，通过学习让学生了解</w:t>
      </w:r>
      <w:r>
        <w:rPr>
          <w:rFonts w:hint="eastAsia" w:ascii="宋体" w:hAnsi="宋体" w:eastAsia="宋体" w:cs="宋体"/>
          <w:lang w:val="en-US" w:eastAsia="zh-CN"/>
        </w:rPr>
        <w:t>《奥利奥利世界》这款创新滑板动作平台游戏的基本情况</w:t>
      </w:r>
      <w:r>
        <w:rPr>
          <w:rFonts w:hint="eastAsia" w:ascii="宋体" w:hAnsi="宋体" w:eastAsia="宋体" w:cs="宋体"/>
          <w:lang w:val="zh-TW" w:eastAsia="zh-TW"/>
        </w:rPr>
        <w:t xml:space="preserve">。 </w:t>
      </w:r>
    </w:p>
    <w:p>
      <w:pPr>
        <w:jc w:val="center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drawing>
          <wp:inline distT="0" distB="0" distL="114300" distR="114300">
            <wp:extent cx="3776980" cy="2160270"/>
            <wp:effectExtent l="0" t="0" r="13970" b="1143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769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hint="eastAsia" w:ascii="Times New Roman" w:hAnsi="Times New Roman" w:eastAsia="宋体" w:cs="Times New Roman"/>
          <w:b/>
          <w:bCs/>
          <w:lang w:val="zh-TW" w:eastAsia="zh-TW"/>
        </w:rPr>
      </w:pPr>
      <w:r>
        <w:drawing>
          <wp:inline distT="0" distB="0" distL="114300" distR="114300">
            <wp:extent cx="3782695" cy="2160270"/>
            <wp:effectExtent l="0" t="0" r="8255" b="1143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826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【设计意图】对新闻中的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个句子进行翻译练习，对其中单词、词组、句法进行巩固。</w:t>
      </w:r>
    </w:p>
    <w:p>
      <w:pPr>
        <w:jc w:val="both"/>
        <w:rPr>
          <w:rFonts w:hint="eastAsia"/>
          <w:lang w:val="zh-TW" w:eastAsia="zh-TW"/>
        </w:rPr>
      </w:pPr>
    </w:p>
    <w:p>
      <w:pPr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bookmarkStart w:id="0" w:name="OLE_LINK1"/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 xml:space="preserve">  《泰晤士报》2022年4月11日 4页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Half of teachers plan to quit because of heavy workload</w:t>
      </w:r>
    </w:p>
    <w:p>
      <w:pPr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rtl w:val="0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rtl w:val="0"/>
          <w:lang w:val="en-US" w:eastAsia="zh-CN"/>
        </w:rPr>
        <w:t xml:space="preserve">由于工作负担过重，半数教师计划辞职 </w:t>
      </w:r>
    </w:p>
    <w:bookmarkEnd w:id="0"/>
    <w:p>
      <w:pPr>
        <w:jc w:val="center"/>
      </w:pPr>
      <w:r>
        <w:drawing>
          <wp:inline distT="0" distB="0" distL="114300" distR="114300">
            <wp:extent cx="3991610" cy="2284095"/>
            <wp:effectExtent l="0" t="0" r="8890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【设计意图】通过</w:t>
      </w:r>
      <w:r>
        <w:rPr>
          <w:rFonts w:hint="eastAsia" w:ascii="宋体" w:hAnsi="宋体" w:eastAsia="宋体" w:cs="宋体"/>
          <w:lang w:val="en-US" w:eastAsia="zh-CN"/>
        </w:rPr>
        <w:t>语篇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 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社会热点问题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”这一子主题，通过学习让学生了解英国</w:t>
      </w:r>
      <w:r>
        <w:rPr>
          <w:rFonts w:hint="eastAsia" w:ascii="宋体" w:hAnsi="宋体" w:eastAsia="宋体" w:cs="宋体"/>
          <w:lang w:val="en-US" w:eastAsia="zh-CN"/>
        </w:rPr>
        <w:t>教师</w:t>
      </w:r>
      <w:r>
        <w:rPr>
          <w:rFonts w:hint="eastAsia" w:ascii="宋体" w:hAnsi="宋体" w:eastAsia="宋体" w:cs="宋体"/>
          <w:lang w:val="zh-TW" w:eastAsia="zh-TW"/>
        </w:rPr>
        <w:t>的</w:t>
      </w:r>
      <w:r>
        <w:rPr>
          <w:rFonts w:hint="eastAsia" w:ascii="宋体" w:hAnsi="宋体" w:eastAsia="宋体" w:cs="宋体"/>
          <w:lang w:val="en-US" w:eastAsia="zh-CN"/>
        </w:rPr>
        <w:t>现状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center"/>
      </w:pPr>
      <w:r>
        <w:drawing>
          <wp:inline distT="0" distB="0" distL="114300" distR="114300">
            <wp:extent cx="3803650" cy="2160270"/>
            <wp:effectExtent l="0" t="0" r="6350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69995" cy="2160270"/>
            <wp:effectExtent l="0" t="0" r="1905" b="1143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699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个句子进行翻译练习，对其中单词、词组、句法进行巩固。</w:t>
      </w:r>
    </w:p>
    <w:p>
      <w:pPr>
        <w:jc w:val="both"/>
      </w:pPr>
    </w:p>
    <w:p>
      <w:pPr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 xml:space="preserve">  《周刊报道》2022年4月1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 xml:space="preserve">日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4页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Venice fights an invasion of seagulls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 xml:space="preserve">  </w:t>
      </w:r>
      <w:r>
        <w:rPr>
          <w:rFonts w:hint="eastAsia" w:ascii="Times New Roman" w:hAnsi="Times New Roman" w:eastAsia="宋体" w:cs="Times New Roman"/>
          <w:b/>
          <w:bCs/>
          <w:rtl w:val="0"/>
          <w:lang w:val="en-US" w:eastAsia="zh-CN"/>
        </w:rPr>
        <w:t xml:space="preserve">威尼斯对抗海鸥的入侵 </w:t>
      </w:r>
    </w:p>
    <w:p>
      <w:pPr>
        <w:jc w:val="center"/>
      </w:pPr>
      <w:r>
        <w:drawing>
          <wp:inline distT="0" distB="0" distL="114300" distR="114300">
            <wp:extent cx="3777615" cy="2160270"/>
            <wp:effectExtent l="0" t="0" r="13335" b="1143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776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【设计意图】通过</w:t>
      </w:r>
      <w:r>
        <w:rPr>
          <w:rFonts w:hint="eastAsia" w:ascii="宋体" w:hAnsi="宋体" w:eastAsia="宋体" w:cs="宋体"/>
          <w:lang w:val="en-US" w:eastAsia="zh-CN"/>
        </w:rPr>
        <w:t>语篇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 “人与</w:t>
      </w:r>
      <w:r>
        <w:rPr>
          <w:rFonts w:hint="eastAsia" w:ascii="宋体" w:hAnsi="宋体" w:eastAsia="宋体" w:cs="宋体"/>
          <w:lang w:val="en-US" w:eastAsia="zh-CN"/>
        </w:rPr>
        <w:t>自然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人与环境、人与动植物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</w:t>
      </w:r>
      <w:r>
        <w:rPr>
          <w:rFonts w:hint="eastAsia" w:ascii="宋体" w:hAnsi="宋体" w:eastAsia="宋体" w:cs="宋体"/>
          <w:lang w:val="en-US" w:eastAsia="zh-CN"/>
        </w:rPr>
        <w:t>了解</w:t>
      </w:r>
      <w:bookmarkStart w:id="1" w:name="_GoBack"/>
      <w:bookmarkEnd w:id="1"/>
      <w:r>
        <w:rPr>
          <w:rFonts w:hint="eastAsia" w:ascii="宋体" w:hAnsi="宋体" w:eastAsia="宋体" w:cs="宋体"/>
          <w:lang w:val="en-US" w:eastAsia="zh-CN"/>
        </w:rPr>
        <w:t>人类介入后海鸥在威尼斯的现状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center"/>
      </w:pPr>
      <w:r>
        <w:drawing>
          <wp:inline distT="0" distB="0" distL="114300" distR="114300">
            <wp:extent cx="3808095" cy="2160270"/>
            <wp:effectExtent l="0" t="0" r="190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080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897630" cy="2229485"/>
            <wp:effectExtent l="0" t="0" r="7620" b="1841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9763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54755" cy="2160270"/>
            <wp:effectExtent l="0" t="0" r="17145" b="1143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5475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个句子进行翻译练习，对其中单词、词组、句法进行巩固。</w:t>
      </w:r>
    </w:p>
    <w:p>
      <w:pPr>
        <w:jc w:val="both"/>
        <w:rPr>
          <w:rFonts w:hint="eastAsia"/>
          <w:lang w:val="zh-TW" w:eastAsia="zh-TW"/>
        </w:rPr>
      </w:pPr>
    </w:p>
    <w:p>
      <w:pPr>
        <w:rPr>
          <w:rFonts w:hint="eastAsia" w:ascii="Times New Roman" w:hAnsi="Times New Roman"/>
          <w:b/>
          <w:bCs/>
          <w:lang w:val="en-US" w:eastAsia="zh-CN"/>
        </w:rPr>
      </w:pPr>
      <w:r>
        <w:rPr>
          <w:rFonts w:ascii="Times New Roman" w:hAnsi="Times New Roman"/>
          <w:b/>
          <w:bCs/>
        </w:rPr>
        <w:t xml:space="preserve">Part </w:t>
      </w:r>
      <w:r>
        <w:rPr>
          <w:rFonts w:hint="eastAsia" w:ascii="Times New Roman" w:hAnsi="Times New Roman"/>
          <w:b/>
          <w:bCs/>
          <w:lang w:val="en-US" w:eastAsia="zh-CN"/>
        </w:rPr>
        <w:t>5</w:t>
      </w:r>
      <w:r>
        <w:rPr>
          <w:rFonts w:ascii="Times New Roman" w:hAnsi="Times New Roman"/>
          <w:b/>
          <w:bCs/>
        </w:rPr>
        <w:t xml:space="preserve">: </w:t>
      </w:r>
      <w:r>
        <w:rPr>
          <w:rFonts w:hint="eastAsia" w:ascii="Times New Roman" w:hAnsi="Times New Roman"/>
          <w:b/>
          <w:bCs/>
        </w:rPr>
        <w:t xml:space="preserve">News Report </w:t>
      </w:r>
      <w:r>
        <w:rPr>
          <w:rFonts w:hint="eastAsia" w:ascii="Times New Roman" w:hAnsi="Times New Roman"/>
          <w:b/>
          <w:bCs/>
          <w:lang w:val="en-US" w:eastAsia="zh-CN"/>
        </w:rPr>
        <w:t xml:space="preserve">5    </w:t>
      </w:r>
      <w:r>
        <w:rPr>
          <w:rFonts w:hint="eastAsia" w:ascii="Times New Roman" w:hAnsi="Times New Roman"/>
          <w:b/>
          <w:bCs/>
        </w:rPr>
        <w:t>One-minute World 04/13/22</w:t>
      </w:r>
    </w:p>
    <w:p>
      <w:pPr>
        <w:jc w:val="center"/>
      </w:pPr>
      <w:r>
        <w:drawing>
          <wp:inline distT="0" distB="0" distL="114300" distR="114300">
            <wp:extent cx="3796030" cy="2160270"/>
            <wp:effectExtent l="0" t="0" r="13970" b="1143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9603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【设计意图】听一则新闻材料，通过听力填空的方式理解文本，考察听力辨识词汇的能力。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803650" cy="2160270"/>
            <wp:effectExtent l="0" t="0" r="6350" b="1143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</w:t>
      </w:r>
      <w:r>
        <w:rPr>
          <w:rFonts w:hint="eastAsia" w:ascii="宋体" w:hAnsi="宋体" w:eastAsia="宋体" w:cs="宋体"/>
          <w:lang w:val="en-US" w:eastAsia="zh-CN"/>
        </w:rPr>
        <w:t>词汇</w:t>
      </w:r>
      <w:r>
        <w:rPr>
          <w:rFonts w:hint="eastAsia" w:ascii="宋体" w:hAnsi="宋体" w:eastAsia="宋体" w:cs="宋体"/>
          <w:lang w:val="zh-TW" w:eastAsia="zh-TW"/>
        </w:rPr>
        <w:t>进行解读，并通过翻译句子对其进行巩固。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725545" cy="2160270"/>
            <wp:effectExtent l="0" t="0" r="8255" b="1143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2554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eastAsia="宋体" w:cs="Calibri"/>
          <w:lang w:val="zh-TW" w:eastAsia="zh-TW"/>
        </w:rPr>
        <w:t>【设计意图】对新闻中的</w:t>
      </w:r>
      <w:r>
        <w:rPr>
          <w:rFonts w:hint="eastAsia" w:eastAsia="宋体" w:cs="Calibri"/>
          <w:lang w:val="en-US" w:eastAsia="zh-CN"/>
        </w:rPr>
        <w:t>三</w:t>
      </w:r>
      <w:r>
        <w:rPr>
          <w:rFonts w:eastAsia="宋体" w:cs="Calibri"/>
          <w:lang w:val="zh-TW" w:eastAsia="zh-TW"/>
        </w:rPr>
        <w:t>个句子进行翻译练习，对其中单词、词组、句法进行巩固。</w:t>
      </w:r>
    </w:p>
    <w:sectPr>
      <w:headerReference r:id="rId3" w:type="default"/>
      <w:footerReference r:id="rId4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9838690</wp:posOffset>
              </wp:positionV>
              <wp:extent cx="127000" cy="127000"/>
              <wp:effectExtent l="0" t="0" r="0" b="0"/>
              <wp:wrapNone/>
              <wp:docPr id="1073741825" name="officeArt object" descr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officeArt object" o:spid="_x0000_s1026" o:spt="202" alt="文本框 9" type="#_x0000_t202" style="position:absolute;left:0pt;margin-left:291.9pt;margin-top:774.7pt;height:10pt;width:10pt;mso-position-horizontal-relative:page;mso-position-vertical-relative:page;z-index:-251657216;mso-width-relative:page;mso-height-relative:page;" filled="f" stroked="f" coordsize="21600,21600" o:gfxdata="UEsDBAoAAAAAAIdO4kAAAAAAAAAAAAAAAAAEAAAAZHJzL1BLAwQUAAAACACHTuJAadiwZNgAAAAN&#10;AQAADwAAAGRycy9kb3ducmV2LnhtbE2PzU7DMBCE70i8g7VI3KjT0kRtiNMDCAkBQkrh0OM2XpKI&#10;eB3F7t/bsznBcWdGs98Um7Pr1ZHG0Hk2MJ8loIhrbztuDHx9Pt+tQIWIbLH3TAYuFGBTXl8VmFt/&#10;4oqO29goKeGQo4E2xiHXOtQtOQwzPxCL9+1Hh1HOsdF2xJOUu14vkiTTDjuWDy0O9NhS/bM9OAOv&#10;Fb6/YZUufOeC3b3oj8uTJ2Nub+bJA6hI5/gXhglf0KEUpr0/sA2qN5Cu7gU9ipEu10tQEsmSSdpP&#10;UiaSLgv9f0X5C1BLAwQUAAAACACHTuJAXldHuQQCAAD/AwAADgAAAGRycy9lMm9Eb2MueG1srZPP&#10;bhMxEMbvSLyD5TvZTSikXWVTFaIiJARILQ/g9dpZI9tjbCe7eQF4A05cuPNceQ7G+yepyqUHLpux&#10;Z/zzzOcvq+vOaLIXPiiwJZ3PckqE5VAruy3pl/vbF5eUhMhszTRYUdKDCPR6/fzZqnWFWEADuhae&#10;IMSGonUlbWJ0RZYF3gjDwgycsJiU4A2LuPTbrPasRbrR2SLPX2ct+Np54CIE3N0MSToS/VOAIKXi&#10;YgN8Z4SNA9ULzSKOFBrlAl333UopePwkZRCR6JLipLH/4iUYV+mbrVes2HrmGsXHFthTWng0k2HK&#10;4qUn1IZFRnZe/YMyinsIIOOMg8mGQXpFcIp5/kibu4Y50c+CUgd3Ej38Pyz/uP/siarRCfny5fJi&#10;frl4RYllBl9+6O7GRwLVV1SSkloEjuIdf/44/vpz/P2dXCUBWxcK5Nw5JMXuDXQIm/YDbiZdOulN&#10;+kUmwTzKfzjJL7pIeDq0WOY5Zjimxhjp2fmw8yG+E2BICkrqU08JyvYfQhxKp5K0beFWad2/sLak&#10;HaHIZ2hbiXbpDz+oMiqitbUyJb3ATrCXAaptwoneTuNNaeZhthTFruqwNIUV1AfUoUVLlTR82zEv&#10;KNHvLb5Z8t8U+CmopsDuzFtAl84pYZY3gDpPDd7sIkjVT3i+ApVJC/RFr9Ho4WS8h+u+6vy/Xf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diwZNgAAAANAQAADwAAAAAAAAABACAAAAAiAAAAZHJz&#10;L2Rvd25yZXYueG1sUEsBAhQAFAAAAAgAh07iQF5XR7kEAgAA/wMAAA4AAAAAAAAAAQAgAAAAJwEA&#10;AGRycy9lMm9Eb2MueG1sUEsFBgAAAAAGAAYAWQEAAJ0FAAAAAA==&#10;">
              <v:fill on="f" focussize="0,0"/>
              <v:stroke on="f" weight="1pt" miterlimit="4" joinstyle="miter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jc w:val="center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tabs>
        <w:tab w:val="right" w:pos="8280"/>
        <w:tab w:val="clear" w:pos="902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displayBackgroundShape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noLineBreaksAfter w:lang="zh-CN" w:val="‘“(〔[{〈《「『【⦅〘〖«〝︵︷︹︻︽︿﹁﹃﹇﹙﹛﹝｢"/>
  <w:noLineBreaksBefore w:lang="zh-CN" w:val="’”)〕]}〉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192"/>
    <w:rsid w:val="00102F1A"/>
    <w:rsid w:val="00192054"/>
    <w:rsid w:val="00822D40"/>
    <w:rsid w:val="009E1215"/>
    <w:rsid w:val="00A24192"/>
    <w:rsid w:val="00AD7E2B"/>
    <w:rsid w:val="00B22886"/>
    <w:rsid w:val="00C74F1B"/>
    <w:rsid w:val="00CA37D8"/>
    <w:rsid w:val="00E12DBF"/>
    <w:rsid w:val="01612479"/>
    <w:rsid w:val="016E7157"/>
    <w:rsid w:val="01FA159C"/>
    <w:rsid w:val="020A0AB0"/>
    <w:rsid w:val="039236BD"/>
    <w:rsid w:val="045A7EBE"/>
    <w:rsid w:val="04786E64"/>
    <w:rsid w:val="06821871"/>
    <w:rsid w:val="069C1E52"/>
    <w:rsid w:val="07966CDB"/>
    <w:rsid w:val="09D771D4"/>
    <w:rsid w:val="0BBB6E1B"/>
    <w:rsid w:val="0C473BF2"/>
    <w:rsid w:val="0D6F295F"/>
    <w:rsid w:val="0EEE15EB"/>
    <w:rsid w:val="0F854CE7"/>
    <w:rsid w:val="0F9506A9"/>
    <w:rsid w:val="0FD51817"/>
    <w:rsid w:val="102D0587"/>
    <w:rsid w:val="10BB28A2"/>
    <w:rsid w:val="12026650"/>
    <w:rsid w:val="12233EE4"/>
    <w:rsid w:val="123013F9"/>
    <w:rsid w:val="139E053C"/>
    <w:rsid w:val="14140530"/>
    <w:rsid w:val="14900C99"/>
    <w:rsid w:val="15BA7C50"/>
    <w:rsid w:val="18C267E8"/>
    <w:rsid w:val="1937518F"/>
    <w:rsid w:val="1A6432C5"/>
    <w:rsid w:val="1A765E05"/>
    <w:rsid w:val="1B494B83"/>
    <w:rsid w:val="1CE16BA3"/>
    <w:rsid w:val="1D277811"/>
    <w:rsid w:val="1E5B61CE"/>
    <w:rsid w:val="1E655B7F"/>
    <w:rsid w:val="1F2473C2"/>
    <w:rsid w:val="1F79340C"/>
    <w:rsid w:val="1FBA5176"/>
    <w:rsid w:val="1FD940B3"/>
    <w:rsid w:val="206C6858"/>
    <w:rsid w:val="212A0912"/>
    <w:rsid w:val="216A64F5"/>
    <w:rsid w:val="21F1498D"/>
    <w:rsid w:val="229D0EBD"/>
    <w:rsid w:val="23755DBC"/>
    <w:rsid w:val="23E7718B"/>
    <w:rsid w:val="255C4B9D"/>
    <w:rsid w:val="25814F76"/>
    <w:rsid w:val="265273B1"/>
    <w:rsid w:val="268968E3"/>
    <w:rsid w:val="270423C8"/>
    <w:rsid w:val="276A64BB"/>
    <w:rsid w:val="277B1441"/>
    <w:rsid w:val="27E12DC3"/>
    <w:rsid w:val="2AD35FDC"/>
    <w:rsid w:val="2B9D5EC3"/>
    <w:rsid w:val="2CC10504"/>
    <w:rsid w:val="2CF825FB"/>
    <w:rsid w:val="2F3747D3"/>
    <w:rsid w:val="300645B8"/>
    <w:rsid w:val="323540AB"/>
    <w:rsid w:val="340E7DF1"/>
    <w:rsid w:val="34B02168"/>
    <w:rsid w:val="35C16519"/>
    <w:rsid w:val="36331548"/>
    <w:rsid w:val="363F2D0F"/>
    <w:rsid w:val="37644511"/>
    <w:rsid w:val="376E5C6F"/>
    <w:rsid w:val="376F144B"/>
    <w:rsid w:val="39BB0F06"/>
    <w:rsid w:val="3BE02FFF"/>
    <w:rsid w:val="3C0B2512"/>
    <w:rsid w:val="3C700790"/>
    <w:rsid w:val="3D312BC1"/>
    <w:rsid w:val="3D54230E"/>
    <w:rsid w:val="3EA3354D"/>
    <w:rsid w:val="3EE5062D"/>
    <w:rsid w:val="3F9D2A60"/>
    <w:rsid w:val="41803B08"/>
    <w:rsid w:val="41D169D0"/>
    <w:rsid w:val="41D83760"/>
    <w:rsid w:val="42424E2B"/>
    <w:rsid w:val="42D9296D"/>
    <w:rsid w:val="43707DD1"/>
    <w:rsid w:val="45107DD0"/>
    <w:rsid w:val="47A95167"/>
    <w:rsid w:val="48092989"/>
    <w:rsid w:val="484025FF"/>
    <w:rsid w:val="48E5105A"/>
    <w:rsid w:val="490D62E3"/>
    <w:rsid w:val="4ABE1A60"/>
    <w:rsid w:val="4B005883"/>
    <w:rsid w:val="4C233F10"/>
    <w:rsid w:val="4CE93E21"/>
    <w:rsid w:val="4E17716C"/>
    <w:rsid w:val="4E6A1991"/>
    <w:rsid w:val="51457A12"/>
    <w:rsid w:val="51733331"/>
    <w:rsid w:val="526E5795"/>
    <w:rsid w:val="55E85A65"/>
    <w:rsid w:val="56A62E52"/>
    <w:rsid w:val="56DD2728"/>
    <w:rsid w:val="586B4CF2"/>
    <w:rsid w:val="5A0F2900"/>
    <w:rsid w:val="5A1D50BF"/>
    <w:rsid w:val="5A526BF5"/>
    <w:rsid w:val="5B461090"/>
    <w:rsid w:val="5C2B27F5"/>
    <w:rsid w:val="5CE20216"/>
    <w:rsid w:val="5D973E25"/>
    <w:rsid w:val="5DD32FEA"/>
    <w:rsid w:val="5EBB7A42"/>
    <w:rsid w:val="611C79DB"/>
    <w:rsid w:val="616766EE"/>
    <w:rsid w:val="61DA4026"/>
    <w:rsid w:val="623F6029"/>
    <w:rsid w:val="68BE2BAE"/>
    <w:rsid w:val="6988469B"/>
    <w:rsid w:val="69D850DD"/>
    <w:rsid w:val="6A320EAE"/>
    <w:rsid w:val="6B397B04"/>
    <w:rsid w:val="6B621F16"/>
    <w:rsid w:val="6C4B02CA"/>
    <w:rsid w:val="6C557EE2"/>
    <w:rsid w:val="6C8F5AD2"/>
    <w:rsid w:val="6DE76703"/>
    <w:rsid w:val="6E6D624B"/>
    <w:rsid w:val="71480692"/>
    <w:rsid w:val="72555F92"/>
    <w:rsid w:val="72DB7575"/>
    <w:rsid w:val="735C5B93"/>
    <w:rsid w:val="73746F03"/>
    <w:rsid w:val="73753C8B"/>
    <w:rsid w:val="73CD58D4"/>
    <w:rsid w:val="74337880"/>
    <w:rsid w:val="7469660E"/>
    <w:rsid w:val="75024E2C"/>
    <w:rsid w:val="75725455"/>
    <w:rsid w:val="75F14283"/>
    <w:rsid w:val="763C1500"/>
    <w:rsid w:val="767E51E3"/>
    <w:rsid w:val="77D7381D"/>
    <w:rsid w:val="77EE136B"/>
    <w:rsid w:val="79F02991"/>
    <w:rsid w:val="7B3B2BBC"/>
    <w:rsid w:val="7B7E5661"/>
    <w:rsid w:val="7D2B45D0"/>
    <w:rsid w:val="7EB04CE4"/>
    <w:rsid w:val="7F86474C"/>
    <w:rsid w:val="7F893458"/>
    <w:rsid w:val="7F900C05"/>
    <w:rsid w:val="7FA5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Arial Unicode MS" w:cs="Arial Unicode MS"/>
      <w:color w:val="000000"/>
      <w:kern w:val="2"/>
      <w:sz w:val="24"/>
      <w:szCs w:val="24"/>
      <w:u w:color="000000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0"/>
    <w:pPr>
      <w:widowControl w:val="0"/>
      <w:tabs>
        <w:tab w:val="center" w:pos="4153"/>
        <w:tab w:val="right" w:pos="8306"/>
      </w:tabs>
    </w:pPr>
    <w:rPr>
      <w:rFonts w:ascii="Calibri" w:hAnsi="Calibri" w:eastAsia="Arial Unicode MS" w:cs="Arial Unicode MS"/>
      <w:color w:val="000000"/>
      <w:kern w:val="2"/>
      <w:sz w:val="18"/>
      <w:szCs w:val="18"/>
      <w:u w:color="000000"/>
      <w:lang w:val="en-US" w:eastAsia="zh-CN" w:bidi="ar-SA"/>
    </w:rPr>
  </w:style>
  <w:style w:type="character" w:styleId="5">
    <w:name w:val="Hyperlink"/>
    <w:qFormat/>
    <w:uiPriority w:val="0"/>
    <w:rPr>
      <w:u w:val="single"/>
    </w:rPr>
  </w:style>
  <w:style w:type="table" w:customStyle="1" w:styleId="6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页眉与页脚"/>
    <w:qFormat/>
    <w:uiPriority w:val="0"/>
    <w:pPr>
      <w:tabs>
        <w:tab w:val="right" w:pos="9020"/>
      </w:tabs>
    </w:pPr>
    <w:rPr>
      <w:rFonts w:ascii="PingFang SC Regular" w:hAnsi="PingFang SC Regular" w:eastAsia="Arial Unicode MS" w:cs="Arial Unicode MS"/>
      <w:color w:val="000000"/>
      <w:sz w:val="24"/>
      <w:szCs w:val="24"/>
      <w:u w:color="00000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1273</Words>
  <Characters>1486</Characters>
  <Lines>7</Lines>
  <Paragraphs>2</Paragraphs>
  <TotalTime>6</TotalTime>
  <ScaleCrop>false</ScaleCrop>
  <LinksUpToDate>false</LinksUpToDate>
  <CharactersWithSpaces>1557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2022-02-14T11:09:00Z</dcterms:created>
  <dc:creator>Administrator</dc:creator>
  <cp:lastModifiedBy>Maverick</cp:lastModifiedBy>
  <dcterms:modified xsi:type="dcterms:W3CDTF">2022-04-17T09:33:17Z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6FA6573C6FA8478E980098609E7C5BAB</vt:lpwstr>
  </property>
</Properties>
</file>