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2024年1月</w:t>
      </w:r>
      <w:r>
        <w:rPr>
          <w:rFonts w:hint="eastAsia" w:ascii="黑体" w:hAnsi="黑体" w:eastAsia="黑体" w:cs="黑体"/>
          <w:b/>
          <w:bCs/>
          <w:sz w:val="32"/>
          <w:szCs w:val="32"/>
        </w:rPr>
        <w:t>浙江</w:t>
      </w:r>
      <w:r>
        <w:rPr>
          <w:rFonts w:hint="eastAsia" w:ascii="黑体" w:hAnsi="黑体" w:eastAsia="黑体" w:cs="黑体"/>
          <w:b/>
          <w:bCs/>
          <w:sz w:val="32"/>
          <w:szCs w:val="32"/>
          <w:lang w:val="en-US" w:eastAsia="zh-CN"/>
        </w:rPr>
        <w:t>第一次高考（首考）英语</w:t>
      </w:r>
    </w:p>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语法填空 导引与教学分析</w:t>
      </w:r>
    </w:p>
    <w:p>
      <w:p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【理论基石】</w:t>
      </w:r>
    </w:p>
    <w:p>
      <w:pPr>
        <w:ind w:firstLine="420" w:firstLineChars="200"/>
        <w:jc w:val="both"/>
        <w:rPr>
          <w:rFonts w:hint="eastAsia" w:asciiTheme="minorEastAsia" w:hAnsi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综合是分析的先导，分析是综合的基础</w:t>
      </w:r>
      <w:bookmarkStart w:id="0" w:name="_GoBack"/>
      <w:bookmarkEnd w:id="0"/>
      <w:r>
        <w:rPr>
          <w:rFonts w:hint="eastAsia" w:asciiTheme="minorEastAsia" w:hAnsiTheme="minorEastAsia" w:eastAsiaTheme="minorEastAsia" w:cstheme="minorEastAsia"/>
          <w:b w:val="0"/>
          <w:bCs w:val="0"/>
          <w:sz w:val="21"/>
          <w:szCs w:val="21"/>
          <w:lang w:val="en-US" w:eastAsia="zh-CN"/>
        </w:rPr>
        <w:t>;分析为综合做准备，综合的结果又指导人们继续对事件进行新分析。在此基础上，比较则能够创设新的支点，帮助明晰新的模型与发展趋势；最后的延伸是对前者内容的进一步拓展与深化。</w:t>
      </w:r>
      <w:r>
        <w:rPr>
          <w:rFonts w:hint="eastAsia" w:asciiTheme="minorEastAsia" w:hAnsiTheme="minorEastAsia" w:cstheme="minorEastAsia"/>
          <w:b w:val="0"/>
          <w:bCs w:val="0"/>
          <w:sz w:val="21"/>
          <w:szCs w:val="21"/>
          <w:lang w:val="en-US" w:eastAsia="zh-CN"/>
        </w:rPr>
        <w:t>基于此辩证思维关系，展开对语法填空的分析。</w:t>
      </w:r>
    </w:p>
    <w:p>
      <w:pPr>
        <w:ind w:firstLine="420" w:firstLineChars="200"/>
        <w:jc w:val="both"/>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这篇文章聚焦于超市购物中与包装大小和促销方式相关的问题，强调了单独购物者在当前市场环境中可能面临的困扰。对于话题选择，可以评价为关注消费者需求和购物体验，反映了对超市销售策略的一种批判性思考。作者承认超市会优先考虑吸引大多数顾客的定价策略，但指出了单身顾客的劣势。文章还提到了由于批评而逐渐减少“买一送一”促销的趋势，表明对于个体消费者来说，更灵活和小包装选项的需求。</w:t>
      </w:r>
    </w:p>
    <w:p>
      <w:pPr>
        <w:jc w:val="both"/>
        <w:rPr>
          <w:rFonts w:hint="default" w:asciiTheme="minorEastAsia" w:hAnsiTheme="minorEastAsia" w:cstheme="minorEastAsia"/>
          <w:b w:val="0"/>
          <w:bCs w:val="0"/>
          <w:sz w:val="21"/>
          <w:szCs w:val="21"/>
          <w:lang w:val="en-US" w:eastAsia="zh-CN"/>
        </w:rPr>
      </w:pPr>
      <w:r>
        <w:rPr>
          <w:rFonts w:hint="eastAsia" w:asciiTheme="minorEastAsia" w:hAnsiTheme="minorEastAsia" w:cstheme="minorEastAsia"/>
          <w:b w:val="0"/>
          <w:bCs w:val="0"/>
          <w:sz w:val="21"/>
          <w:szCs w:val="21"/>
          <w:lang w:val="en-US" w:eastAsia="zh-CN"/>
        </w:rPr>
        <w:t>渗透的育人价值主要有：</w:t>
      </w:r>
    </w:p>
    <w:p>
      <w:pPr>
        <w:ind w:firstLine="210" w:firstLineChars="1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1.责任意识： 文章提到超市转变促销方式以减少浪费，呼吁消费者对个体商品负责。</w:t>
      </w:r>
    </w:p>
    <w:p>
      <w:pPr>
        <w:ind w:firstLine="210" w:firstLineChars="1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2.环保观念： 文章强调超市推出分开包装以延长食物新鲜度，体现了对环保观念的关注。</w:t>
      </w:r>
    </w:p>
    <w:p>
      <w:pPr>
        <w:ind w:firstLine="210" w:firstLineChars="1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3.理性消费： 文章主张超市应该偶尔提供小包装，强调对于喜爱的产品，理性消费才是合理的选择。</w:t>
      </w:r>
    </w:p>
    <w:p>
      <w:pPr>
        <w:ind w:firstLine="210" w:firstLineChars="100"/>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4.未来思考： 文章展望超市可能推出个性化包装，鼓励超市前瞻性，培养学生未来思考和创新的能力。</w:t>
      </w:r>
    </w:p>
    <w:p>
      <w:pPr>
        <w:ind w:firstLine="210" w:firstLineChars="100"/>
        <w:jc w:val="both"/>
        <w:rPr>
          <w:rFonts w:hint="default" w:ascii="Times New Roman" w:hAnsi="Times New Roman" w:cs="Times New Roman"/>
          <w:b w:val="0"/>
          <w:bCs w:val="0"/>
          <w:sz w:val="21"/>
          <w:szCs w:val="21"/>
          <w:lang w:val="en-US" w:eastAsia="zh-CN"/>
        </w:rPr>
      </w:pPr>
    </w:p>
    <w:p>
      <w:pPr>
        <w:jc w:val="both"/>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【教学目标】</w:t>
      </w:r>
    </w:p>
    <w:p>
      <w:pPr>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bCs/>
          <w:sz w:val="21"/>
          <w:szCs w:val="21"/>
          <w:lang w:val="en-US" w:eastAsia="zh-CN"/>
        </w:rPr>
        <w:t xml:space="preserve">1. Comprehension of Overall Article Structure and Content: </w:t>
      </w:r>
      <w:r>
        <w:rPr>
          <w:rFonts w:hint="default" w:ascii="Times New Roman" w:hAnsi="Times New Roman" w:cs="Times New Roman"/>
          <w:b w:val="0"/>
          <w:bCs w:val="0"/>
          <w:sz w:val="21"/>
          <w:szCs w:val="21"/>
          <w:lang w:val="en-US" w:eastAsia="zh-CN"/>
        </w:rPr>
        <w:t>Students should be able to understand the main theme, viewpoints, and arguments of the article through the completion of the fill-in-the-blanks exercise.</w:t>
      </w:r>
    </w:p>
    <w:p>
      <w:pPr>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bCs/>
          <w:sz w:val="21"/>
          <w:szCs w:val="21"/>
          <w:lang w:val="en-US" w:eastAsia="zh-CN"/>
        </w:rPr>
        <w:t>2. Vocabulary Mastery and Application:</w:t>
      </w:r>
      <w:r>
        <w:rPr>
          <w:rFonts w:hint="default" w:ascii="Times New Roman" w:hAnsi="Times New Roman" w:cs="Times New Roman"/>
          <w:b w:val="0"/>
          <w:bCs w:val="0"/>
          <w:sz w:val="21"/>
          <w:szCs w:val="21"/>
          <w:lang w:val="en-US" w:eastAsia="zh-CN"/>
        </w:rPr>
        <w:t>Through the fill-in-the-blanks activity, students should acquire and apply vocabulary related to supermarket shopping, including nouns, verbs, and adjectives.</w:t>
      </w:r>
    </w:p>
    <w:p>
      <w:pPr>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bCs/>
          <w:sz w:val="21"/>
          <w:szCs w:val="21"/>
          <w:lang w:val="en-US" w:eastAsia="zh-CN"/>
        </w:rPr>
        <w:t>3. Contextual Understanding:</w:t>
      </w:r>
      <w:r>
        <w:rPr>
          <w:rFonts w:hint="default" w:ascii="Times New Roman" w:hAnsi="Times New Roman" w:cs="Times New Roman"/>
          <w:b w:val="0"/>
          <w:bCs w:val="0"/>
          <w:sz w:val="21"/>
          <w:szCs w:val="21"/>
          <w:lang w:val="en-US" w:eastAsia="zh-CN"/>
        </w:rPr>
        <w:t>By completing the blanks, students should grasp how words are used in specific contexts, enhancing their overall understanding of the article's language context.</w:t>
      </w:r>
    </w:p>
    <w:p>
      <w:pPr>
        <w:jc w:val="both"/>
        <w:rPr>
          <w:rFonts w:hint="default" w:ascii="Times New Roman" w:hAnsi="Times New Roman" w:cs="Times New Roman"/>
          <w:b w:val="0"/>
          <w:bCs w:val="0"/>
          <w:sz w:val="21"/>
          <w:szCs w:val="21"/>
          <w:lang w:val="en-US" w:eastAsia="zh-CN"/>
        </w:rPr>
      </w:pPr>
    </w:p>
    <w:p>
      <w:pPr>
        <w:jc w:val="both"/>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【实践反思】</w:t>
      </w:r>
    </w:p>
    <w:p>
      <w:pPr>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 Elaborating on Article Theme: Before commencing the teaching, discussions or prompts can be used to stimulate students' interest in the issues and challenges related to supermarket shopping, paving the way for a better understanding of the article's theme.</w:t>
      </w:r>
    </w:p>
    <w:p>
      <w:pPr>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2. Incremental Blank Filling: Breaking down the fill-in-the-blanks exercise into segments allows students to tackle one paragraph at a time. This approach facilitates discussion and verification, ensuring that they comprehend the correct fill-ins for each blank.</w:t>
      </w:r>
    </w:p>
    <w:p>
      <w:pPr>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3. Vocabulary Explanation and Practice:Simultaneously with the blank filling, explaining the meanings of unfamiliar words can aid in understanding vocabulary usage. Additional vocabulary exercises can be incorporated to reinforce students' grasp of the relevant terms.</w:t>
      </w:r>
    </w:p>
    <w:p>
      <w:pPr>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4. Holistic Article Understanding: Post completion of the blanks, a comprehensive understanding and discussion of the entire article should take place, emphasizing the central ideas, author's viewpoints, and their relevance to students' daily lives.</w:t>
      </w:r>
    </w:p>
    <w:p>
      <w:pPr>
        <w:jc w:val="both"/>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5. Encouraging Critical Thinking: Students should be encouraged to extend their thoughts beyond the article. This may involve expressing personal opinions, proposing improvements to shopping experiences, or engaging in reflective discussions, fostering analytical and expressive skills.</w:t>
      </w:r>
    </w:p>
    <w:p>
      <w:pPr>
        <w:jc w:val="both"/>
        <w:rPr>
          <w:rFonts w:hint="default" w:asciiTheme="minorEastAsia" w:hAnsiTheme="minorEastAsia" w:cstheme="minorEastAsia"/>
          <w:b/>
          <w:bCs/>
          <w:sz w:val="21"/>
          <w:szCs w:val="21"/>
          <w:lang w:val="en-US"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zRlZTg3MmRhN2ZlODQ4MzJmNDhhMTFkNGNkMGYifQ=="/>
  </w:docVars>
  <w:rsids>
    <w:rsidRoot w:val="00000000"/>
    <w:rsid w:val="255D7E5F"/>
    <w:rsid w:val="26925155"/>
    <w:rsid w:val="55847229"/>
    <w:rsid w:val="76B70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2024-01-22T07:26:00Z</dcterms:created>
  <dc:creator>32062</dc:creator>
  <cp:lastModifiedBy>Wiesen</cp:lastModifiedBy>
  <dcterms:modified xsi:type="dcterms:W3CDTF">2024-01-23T14:11:38Z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A06BDD3241D149639D8DB4523E03C9C5_12</vt:lpwstr>
  </property>
</Properties>
</file>