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依据《浙江省2025年高考英语全国一卷评析》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2025年高考英语全国一卷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应用文立足考察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学生运用英语解决不同复杂程度问题的能力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，启发学生结合学校活动进行多元思考，引导学生对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信息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进行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分析与整合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，并加以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应用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本次课程设计主要关注学生以多元视角探索学习和思维的过程。在解读《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中国高考评价体系》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标准对应到应用文写作的基础上，引导学生结合课本学习并应用PEEL写作模式。在教学过程中贯穿学习-模仿-应用-迁移，帮助学生掌握逻辑思维、写作结构搭建和语言积累三个层面的重难点。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  <w:t>Teaching Objects: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After this lesson, students are expected to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Analyze the </w:t>
      </w:r>
      <w:r>
        <w:rPr>
          <w:rFonts w:hint="eastAsia" w:ascii="Times New Roman" w:hAnsi="Times New Roman" w:cs="Times New Roman"/>
          <w:lang w:val="en-US" w:eastAsia="zh-CN"/>
        </w:rPr>
        <w:t>writing practice from a more macroscopic perspective</w:t>
      </w:r>
      <w:r>
        <w:rPr>
          <w:rFonts w:hint="default" w:ascii="Times New Roman" w:hAnsi="Times New Roman" w:cs="Times New Roman"/>
          <w:lang w:val="en-US" w:eastAsia="zh-CN"/>
        </w:rPr>
        <w:t xml:space="preserve">  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Learn the PEEL</w:t>
      </w:r>
      <w:r>
        <w:rPr>
          <w:rFonts w:hint="default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lang w:val="en-US" w:eastAsia="zh-CN"/>
        </w:rPr>
        <w:t>writing mode for the writing to state opinions</w:t>
      </w:r>
      <w:r>
        <w:rPr>
          <w:rFonts w:hint="default" w:ascii="Times New Roman" w:hAnsi="Times New Roman" w:cs="Times New Roman"/>
          <w:lang w:val="en-US" w:eastAsia="zh-CN"/>
        </w:rPr>
        <w:t xml:space="preserve"> 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Review and apply PEEL mode to w</w:t>
      </w:r>
      <w:r>
        <w:rPr>
          <w:rFonts w:hint="default" w:ascii="Times New Roman" w:hAnsi="Times New Roman" w:cs="Times New Roman"/>
          <w:lang w:val="en-US" w:eastAsia="zh-CN"/>
        </w:rPr>
        <w:t xml:space="preserve">rite a passage </w:t>
      </w:r>
      <w:r>
        <w:rPr>
          <w:rFonts w:hint="eastAsia" w:ascii="Times New Roman" w:hAnsi="Times New Roman" w:cs="Times New Roman"/>
          <w:lang w:val="en-US" w:eastAsia="zh-CN"/>
        </w:rPr>
        <w:t>to state their opinions effectively</w:t>
      </w:r>
    </w:p>
    <w:p>
      <w:pPr>
        <w:rPr>
          <w:rFonts w:hint="default" w:ascii="Times New Roman" w:hAnsi="Times New Roman" w:cs="Times New Roman"/>
          <w:b/>
          <w:bCs/>
          <w:sz w:val="24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  <w:shd w:val="clear" w:color="auto" w:fill="auto"/>
          <w:lang w:val="en-US" w:eastAsia="zh-CN"/>
        </w:rPr>
        <w:t xml:space="preserve">Teaching </w:t>
      </w:r>
      <w:r>
        <w:rPr>
          <w:rFonts w:hint="eastAsia" w:ascii="Times New Roman" w:hAnsi="Times New Roman" w:cs="Times New Roman"/>
          <w:b/>
          <w:bCs/>
          <w:sz w:val="24"/>
          <w:szCs w:val="32"/>
          <w:shd w:val="clear" w:color="auto" w:fill="auto"/>
          <w:lang w:val="en-US" w:eastAsia="zh-CN"/>
        </w:rPr>
        <w:t>Procedure</w:t>
      </w:r>
      <w:r>
        <w:rPr>
          <w:rFonts w:hint="default" w:ascii="Times New Roman" w:hAnsi="Times New Roman" w:cs="Times New Roman"/>
          <w:b/>
          <w:bCs/>
          <w:sz w:val="24"/>
          <w:szCs w:val="32"/>
          <w:shd w:val="clear" w:color="auto" w:fill="auto"/>
          <w:lang w:val="en-US" w:eastAsia="zh-CN"/>
        </w:rPr>
        <w:t>:</w:t>
      </w:r>
    </w:p>
    <w:p>
      <w:pPr>
        <w:rPr>
          <w:rFonts w:hint="eastAsia" w:ascii="Times New Roman" w:hAnsi="Times New Roman" w:cs="Times New Roman"/>
          <w:b/>
          <w:bCs/>
          <w:sz w:val="24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  <w:shd w:val="clear" w:color="auto" w:fill="auto"/>
          <w:lang w:val="en-US" w:eastAsia="zh-CN"/>
        </w:rPr>
        <w:t xml:space="preserve">Step 1: </w:t>
      </w:r>
      <w:r>
        <w:rPr>
          <w:rFonts w:hint="eastAsia" w:ascii="Times New Roman" w:hAnsi="Times New Roman" w:cs="Times New Roman"/>
          <w:b/>
          <w:bCs/>
          <w:sz w:val="24"/>
          <w:szCs w:val="32"/>
          <w:shd w:val="clear" w:color="auto" w:fill="auto"/>
          <w:lang w:val="en-US" w:eastAsia="zh-CN"/>
        </w:rPr>
        <w:t>Analyze the evaluation standards of NMET</w:t>
      </w:r>
    </w:p>
    <w:p>
      <w:pPr>
        <w:numPr>
          <w:ilvl w:val="0"/>
          <w:numId w:val="2"/>
        </w:numPr>
        <w:rPr>
          <w:rFonts w:hint="default" w:ascii="Times New Roman" w:hAnsi="Times New Roman" w:cs="Times New Roman"/>
          <w:b w:val="0"/>
          <w:bCs w:val="0"/>
          <w:sz w:val="24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shd w:val="clear" w:color="auto" w:fill="auto"/>
          <w:lang w:val="en-US" w:eastAsia="zh-CN"/>
        </w:rPr>
        <w:t>What will be evaluated?</w:t>
      </w:r>
    </w:p>
    <w:p>
      <w:pPr>
        <w:numPr>
          <w:ilvl w:val="0"/>
          <w:numId w:val="0"/>
        </w:numPr>
        <w:rPr>
          <w:rFonts w:hint="eastAsia" w:ascii="Times New Roman" w:hAnsi="Times New Roman" w:cs="Times New Roman"/>
          <w:b w:val="0"/>
          <w:bCs w:val="0"/>
          <w:sz w:val="24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shd w:val="clear" w:color="auto" w:fill="auto"/>
          <w:lang w:val="en-US" w:eastAsia="zh-CN"/>
        </w:rPr>
        <w:t xml:space="preserve">   How will be evaluated?</w:t>
      </w:r>
    </w:p>
    <w:p>
      <w:pPr>
        <w:numPr>
          <w:ilvl w:val="0"/>
          <w:numId w:val="0"/>
        </w:numPr>
        <w:rPr>
          <w:rFonts w:hint="eastAsia" w:ascii="Times New Roman" w:hAnsi="Times New Roman" w:cs="Times New Roman"/>
          <w:b w:val="0"/>
          <w:bCs w:val="0"/>
          <w:sz w:val="24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shd w:val="clear" w:color="auto" w:fill="auto"/>
          <w:lang w:val="en-US" w:eastAsia="zh-CN"/>
        </w:rPr>
        <w:t xml:space="preserve">   Why to evaluated?</w:t>
      </w:r>
    </w:p>
    <w:p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b w:val="0"/>
          <w:bCs w:val="0"/>
          <w:sz w:val="24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shd w:val="clear" w:color="auto" w:fill="auto"/>
          <w:lang w:val="en-US" w:eastAsia="zh-CN"/>
        </w:rPr>
        <w:t>Tailor the standards to the writing requirements to help students to get a big map.</w:t>
      </w:r>
    </w:p>
    <w:p>
      <w:pPr>
        <w:rPr>
          <w:rFonts w:hint="default" w:ascii="Times New Roman" w:hAnsi="Times New Roman" w:cs="Times New Roman"/>
          <w:b/>
          <w:bCs/>
          <w:sz w:val="24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32"/>
          <w:shd w:val="clear" w:color="auto" w:fill="auto"/>
          <w:lang w:val="en-US" w:eastAsia="zh-CN"/>
        </w:rPr>
        <w:t xml:space="preserve">Step 2: </w:t>
      </w:r>
      <w:r>
        <w:rPr>
          <w:rFonts w:hint="default" w:ascii="Times New Roman" w:hAnsi="Times New Roman" w:cs="Times New Roman"/>
          <w:b/>
          <w:bCs/>
          <w:sz w:val="24"/>
          <w:szCs w:val="32"/>
          <w:shd w:val="clear" w:color="auto" w:fill="auto"/>
          <w:lang w:val="en-US" w:eastAsia="zh-CN"/>
        </w:rPr>
        <w:t xml:space="preserve">Analyze the </w:t>
      </w:r>
      <w:r>
        <w:rPr>
          <w:rFonts w:hint="eastAsia" w:ascii="Times New Roman" w:hAnsi="Times New Roman" w:cs="Times New Roman"/>
          <w:b/>
          <w:bCs/>
          <w:sz w:val="24"/>
          <w:szCs w:val="32"/>
          <w:shd w:val="clear" w:color="auto" w:fill="auto"/>
          <w:lang w:val="en-US" w:eastAsia="zh-CN"/>
        </w:rPr>
        <w:t>requirements</w:t>
      </w:r>
    </w:p>
    <w:p>
      <w:pPr>
        <w:numPr>
          <w:ilvl w:val="0"/>
          <w:numId w:val="3"/>
        </w:numPr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shd w:val="clear" w:color="auto" w:fill="auto"/>
          <w:lang w:val="en-US" w:eastAsia="zh-CN"/>
        </w:rPr>
        <w:t xml:space="preserve">Analyze the writing requirements from Genre, </w:t>
      </w:r>
      <w:r>
        <w:rPr>
          <w:rFonts w:hint="eastAsia" w:ascii="Times New Roman" w:hAnsi="Times New Roman" w:cs="Times New Roman"/>
          <w:lang w:val="en-US" w:eastAsia="zh-CN"/>
        </w:rPr>
        <w:t>Person, Tense, Voice, Points and Structure to lead students to organize their writing accordingly</w:t>
      </w:r>
    </w:p>
    <w:p>
      <w:pPr>
        <w:numPr>
          <w:ilvl w:val="0"/>
          <w:numId w:val="3"/>
        </w:numPr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Highlight the analysis to the hidden points like greetings in the beginning and the expectation in the end to complete the writing</w:t>
      </w:r>
    </w:p>
    <w:p>
      <w:pPr>
        <w:numPr>
          <w:ilvl w:val="0"/>
          <w:numId w:val="3"/>
        </w:numPr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Remind students of supporting their points with details</w:t>
      </w:r>
    </w:p>
    <w:p>
      <w:pPr>
        <w:rPr>
          <w:rFonts w:hint="default" w:ascii="Times New Roman" w:hAnsi="Times New Roman" w:cs="Times New Roman"/>
          <w:b/>
          <w:bCs/>
          <w:sz w:val="24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32"/>
          <w:shd w:val="clear" w:color="auto" w:fill="auto"/>
          <w:lang w:val="en-US" w:eastAsia="zh-CN"/>
        </w:rPr>
        <w:t>Step 3: Prepare the language</w:t>
      </w:r>
    </w:p>
    <w:p>
      <w:pPr>
        <w:numPr>
          <w:ilvl w:val="0"/>
          <w:numId w:val="4"/>
        </w:numPr>
        <w:rPr>
          <w:rFonts w:hint="eastAsia" w:ascii="Times New Roman" w:hAnsi="Times New Roman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 xml:space="preserve">Relate to the textbooks and 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c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omb the key words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, linking words as well as sentence patterns for the writing.</w:t>
      </w:r>
    </w:p>
    <w:p>
      <w:pPr>
        <w:numPr>
          <w:ilvl w:val="0"/>
          <w:numId w:val="4"/>
        </w:numPr>
        <w:ind w:left="0" w:leftChars="0" w:firstLine="0" w:firstLineChars="0"/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Relate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 xml:space="preserve"> to the text to comb the basic structure to state opinions effectively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PEEL Writing Mode: Point- Evidence- Explain- Link</w:t>
      </w:r>
    </w:p>
    <w:p>
      <w:pPr>
        <w:numPr>
          <w:ilvl w:val="0"/>
          <w:numId w:val="4"/>
        </w:numPr>
        <w:ind w:left="0" w:leftChars="0" w:firstLine="0" w:firstLineChars="0"/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 xml:space="preserve">Lead students to PEEL the writing themed on 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“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Fun at School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”</w:t>
      </w:r>
    </w:p>
    <w:p>
      <w:pPr>
        <w:numPr>
          <w:ilvl w:val="0"/>
          <w:numId w:val="4"/>
        </w:numPr>
        <w:ind w:left="0" w:leftChars="0" w:firstLine="0" w:firstLineChars="0"/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 xml:space="preserve">Group Discussion: PEEL the writing themed on 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“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Guess Who I am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”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 xml:space="preserve"> and Present the ideas</w:t>
      </w:r>
    </w:p>
    <w:p>
      <w:pPr>
        <w:numPr>
          <w:ilvl w:val="0"/>
          <w:numId w:val="4"/>
        </w:numPr>
        <w:ind w:left="0" w:leftChars="0" w:firstLine="0" w:firstLineChars="0"/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Accumulate the useful expressions and Stimulate Students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’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 xml:space="preserve"> creative thinking</w:t>
      </w:r>
    </w:p>
    <w:p>
      <w:pPr>
        <w:rPr>
          <w:rFonts w:hint="default" w:ascii="Times New Roman" w:hAnsi="Times New Roman" w:cs="Times New Roman"/>
          <w:b/>
          <w:bCs/>
          <w:sz w:val="24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32"/>
          <w:shd w:val="clear" w:color="auto" w:fill="auto"/>
          <w:lang w:val="en-US" w:eastAsia="zh-CN"/>
        </w:rPr>
        <w:t>Step 4: Review the possible versions from the aspects of the PEEL writing mode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/>
          <w:bCs/>
          <w:sz w:val="24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32"/>
          <w:shd w:val="clear" w:color="auto" w:fill="auto"/>
          <w:lang w:val="en-US" w:eastAsia="zh-CN"/>
        </w:rPr>
        <w:t>Step 5: Enhanced Learning</w:t>
      </w:r>
    </w:p>
    <w:p>
      <w:pPr>
        <w:numPr>
          <w:ilvl w:val="0"/>
          <w:numId w:val="5"/>
        </w:numPr>
        <w:ind w:leftChars="0"/>
        <w:rPr>
          <w:rFonts w:hint="default" w:ascii="Times New Roman" w:hAnsi="Times New Roman" w:cs="Times New Roman"/>
          <w:b w:val="0"/>
          <w:bCs w:val="0"/>
          <w:sz w:val="24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shd w:val="clear" w:color="auto" w:fill="auto"/>
          <w:lang w:val="en-US" w:eastAsia="zh-CN"/>
        </w:rPr>
        <w:t>Review the previous similar NMET writing practices and PEEL in pairs</w:t>
      </w:r>
    </w:p>
    <w:p>
      <w:pPr>
        <w:numPr>
          <w:ilvl w:val="0"/>
          <w:numId w:val="5"/>
        </w:numPr>
        <w:ind w:leftChars="0"/>
        <w:rPr>
          <w:rFonts w:hint="default" w:ascii="Times New Roman" w:hAnsi="Times New Roman" w:cs="Times New Roman"/>
          <w:b w:val="0"/>
          <w:bCs w:val="0"/>
          <w:sz w:val="24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shd w:val="clear" w:color="auto" w:fill="auto"/>
          <w:lang w:val="en-US" w:eastAsia="zh-CN"/>
        </w:rPr>
        <w:t>Finish the chosen writing practice after class, take advantages of AI tools to polish the writing and seek for peers</w:t>
      </w:r>
      <w:r>
        <w:rPr>
          <w:rFonts w:hint="default" w:ascii="Times New Roman" w:hAnsi="Times New Roman" w:cs="Times New Roman"/>
          <w:b w:val="0"/>
          <w:bCs w:val="0"/>
          <w:sz w:val="24"/>
          <w:szCs w:val="32"/>
          <w:shd w:val="clear" w:color="auto" w:fill="auto"/>
          <w:lang w:val="en-US" w:eastAsia="zh-CN"/>
        </w:rPr>
        <w:t>’</w:t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  <w:shd w:val="clear" w:color="auto" w:fill="auto"/>
          <w:lang w:val="en-US" w:eastAsia="zh-CN"/>
        </w:rPr>
        <w:t xml:space="preserve"> comments afterwards.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13970" b="5080"/>
          <wp:wrapNone/>
          <wp:docPr id="1" name="WordPictureWatermark34366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34366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10A3063"/>
    <w:multiLevelType w:val="singleLevel"/>
    <w:tmpl w:val="E10A3063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88AF11A"/>
    <w:multiLevelType w:val="singleLevel"/>
    <w:tmpl w:val="F88AF11A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25888AB8"/>
    <w:multiLevelType w:val="singleLevel"/>
    <w:tmpl w:val="25888AB8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367C6876"/>
    <w:multiLevelType w:val="singleLevel"/>
    <w:tmpl w:val="367C6876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73E8FA83"/>
    <w:multiLevelType w:val="singleLevel"/>
    <w:tmpl w:val="73E8FA83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073F05"/>
    <w:rsid w:val="2071502F"/>
    <w:rsid w:val="4307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2025-06-09T08:14:00Z</dcterms:created>
  <dc:creator>普</dc:creator>
  <cp:lastModifiedBy>Wiesen</cp:lastModifiedBy>
  <dcterms:modified xsi:type="dcterms:W3CDTF">2025-06-09T13:49:39Z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21EE4323FF7848ECBBA64798D685B3F9_11</vt:lpwstr>
  </property>
  <property fmtid="{D5CDD505-2E9C-101B-9397-08002B2CF9AE}" pid="4" name="KSOTemplateDocerSaveRecord">
    <vt:lpwstr>eyJoZGlkIjoiMGQ0YmU1OTY1ODk5OTdjOTI2OWViNGEwMzllODg4YzAiLCJ1c2VySWQiOiIyODkyOTk4MDMifQ==</vt:lpwstr>
  </property>
</Properties>
</file>